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72E" w:rsidRPr="00185BD8" w:rsidRDefault="0092672E" w:rsidP="0092672E">
      <w:pPr>
        <w:jc w:val="center"/>
        <w:rPr>
          <w:rFonts w:ascii="Arial" w:hAnsi="Arial" w:cs="Arial"/>
          <w:b/>
          <w:sz w:val="24"/>
          <w:szCs w:val="24"/>
        </w:rPr>
      </w:pPr>
      <w:r w:rsidRPr="00185BD8">
        <w:rPr>
          <w:rFonts w:ascii="Arial" w:hAnsi="Arial" w:cs="Arial"/>
          <w:b/>
          <w:sz w:val="24"/>
          <w:szCs w:val="24"/>
        </w:rPr>
        <w:t>COMMONWEALTH OF THE BAHAMAS</w:t>
      </w:r>
    </w:p>
    <w:p w:rsidR="00044CEA" w:rsidRPr="00185BD8" w:rsidRDefault="00044CEA" w:rsidP="0092672E">
      <w:pPr>
        <w:jc w:val="center"/>
        <w:rPr>
          <w:rFonts w:ascii="Arial" w:hAnsi="Arial" w:cs="Arial"/>
          <w:b/>
          <w:sz w:val="24"/>
          <w:szCs w:val="24"/>
        </w:rPr>
      </w:pPr>
    </w:p>
    <w:p w:rsidR="0092672E" w:rsidRPr="00185BD8" w:rsidRDefault="0092672E" w:rsidP="0092672E">
      <w:pPr>
        <w:jc w:val="center"/>
        <w:rPr>
          <w:rFonts w:ascii="Arial" w:hAnsi="Arial" w:cs="Arial"/>
          <w:b/>
          <w:sz w:val="24"/>
          <w:szCs w:val="24"/>
        </w:rPr>
      </w:pPr>
      <w:r w:rsidRPr="00185BD8">
        <w:rPr>
          <w:rFonts w:ascii="Arial" w:hAnsi="Arial" w:cs="Arial"/>
          <w:b/>
          <w:sz w:val="24"/>
          <w:szCs w:val="24"/>
        </w:rPr>
        <w:t>IN THE SUPREME COURT</w:t>
      </w:r>
    </w:p>
    <w:p w:rsidR="00044CEA" w:rsidRPr="00185BD8" w:rsidRDefault="00044CEA" w:rsidP="0092672E">
      <w:pPr>
        <w:jc w:val="center"/>
        <w:rPr>
          <w:rFonts w:ascii="Arial" w:hAnsi="Arial" w:cs="Arial"/>
          <w:b/>
          <w:sz w:val="24"/>
          <w:szCs w:val="24"/>
        </w:rPr>
      </w:pPr>
    </w:p>
    <w:p w:rsidR="00B66867" w:rsidRPr="00185BD8" w:rsidRDefault="0092672E" w:rsidP="0092672E">
      <w:pPr>
        <w:jc w:val="center"/>
        <w:rPr>
          <w:rFonts w:ascii="Arial" w:hAnsi="Arial" w:cs="Arial"/>
          <w:b/>
          <w:sz w:val="24"/>
          <w:szCs w:val="24"/>
        </w:rPr>
      </w:pPr>
      <w:r w:rsidRPr="00185BD8">
        <w:rPr>
          <w:rFonts w:ascii="Arial" w:hAnsi="Arial" w:cs="Arial"/>
          <w:b/>
          <w:sz w:val="24"/>
          <w:szCs w:val="24"/>
        </w:rPr>
        <w:t>COMMON LAW AND EQUITY DIVISION</w:t>
      </w:r>
    </w:p>
    <w:p w:rsidR="00B66867" w:rsidRPr="00185BD8" w:rsidRDefault="00B66867" w:rsidP="0092672E">
      <w:pPr>
        <w:jc w:val="center"/>
        <w:rPr>
          <w:rFonts w:ascii="Arial" w:hAnsi="Arial" w:cs="Arial"/>
          <w:b/>
          <w:sz w:val="24"/>
          <w:szCs w:val="24"/>
        </w:rPr>
      </w:pPr>
    </w:p>
    <w:p w:rsidR="0092672E" w:rsidRPr="00185BD8" w:rsidRDefault="0092672E" w:rsidP="00145589">
      <w:pPr>
        <w:jc w:val="both"/>
        <w:rPr>
          <w:rFonts w:ascii="Arial" w:hAnsi="Arial" w:cs="Arial"/>
          <w:sz w:val="24"/>
          <w:szCs w:val="24"/>
        </w:rPr>
      </w:pPr>
    </w:p>
    <w:p w:rsidR="0092672E" w:rsidRPr="00185BD8" w:rsidRDefault="0092672E" w:rsidP="00145589">
      <w:pPr>
        <w:jc w:val="both"/>
        <w:rPr>
          <w:rFonts w:ascii="Arial" w:hAnsi="Arial" w:cs="Arial"/>
          <w:b/>
          <w:sz w:val="24"/>
          <w:szCs w:val="24"/>
        </w:rPr>
      </w:pPr>
      <w:r w:rsidRPr="00185BD8">
        <w:rPr>
          <w:rFonts w:ascii="Arial" w:hAnsi="Arial" w:cs="Arial"/>
          <w:b/>
          <w:sz w:val="24"/>
          <w:szCs w:val="24"/>
        </w:rPr>
        <w:t>2018/CLE/GEN/00474</w:t>
      </w:r>
    </w:p>
    <w:p w:rsidR="0092672E" w:rsidRPr="00185BD8" w:rsidRDefault="0092672E" w:rsidP="00145589">
      <w:pPr>
        <w:jc w:val="both"/>
        <w:rPr>
          <w:rFonts w:ascii="Arial" w:hAnsi="Arial" w:cs="Arial"/>
          <w:b/>
          <w:sz w:val="24"/>
          <w:szCs w:val="24"/>
        </w:rPr>
      </w:pPr>
    </w:p>
    <w:p w:rsidR="0092672E" w:rsidRPr="00185BD8" w:rsidRDefault="0092672E" w:rsidP="00145589">
      <w:pPr>
        <w:jc w:val="both"/>
        <w:rPr>
          <w:rFonts w:ascii="Arial" w:hAnsi="Arial" w:cs="Arial"/>
          <w:b/>
          <w:sz w:val="24"/>
          <w:szCs w:val="24"/>
        </w:rPr>
      </w:pPr>
      <w:r w:rsidRPr="00185BD8">
        <w:rPr>
          <w:rFonts w:ascii="Arial" w:hAnsi="Arial" w:cs="Arial"/>
          <w:b/>
          <w:sz w:val="24"/>
          <w:szCs w:val="24"/>
        </w:rPr>
        <w:t>2018/CLE/GEN/01404</w:t>
      </w:r>
    </w:p>
    <w:p w:rsidR="0092672E" w:rsidRPr="00185BD8" w:rsidRDefault="0092672E" w:rsidP="00145589">
      <w:pPr>
        <w:jc w:val="both"/>
        <w:rPr>
          <w:rFonts w:ascii="Arial" w:hAnsi="Arial" w:cs="Arial"/>
          <w:b/>
          <w:sz w:val="24"/>
          <w:szCs w:val="24"/>
        </w:rPr>
      </w:pPr>
    </w:p>
    <w:p w:rsidR="0092672E" w:rsidRPr="00185BD8" w:rsidRDefault="0092672E" w:rsidP="003641B0">
      <w:pPr>
        <w:jc w:val="both"/>
        <w:rPr>
          <w:rFonts w:ascii="Arial" w:hAnsi="Arial" w:cs="Arial"/>
          <w:b/>
          <w:sz w:val="24"/>
          <w:szCs w:val="24"/>
        </w:rPr>
      </w:pPr>
      <w:r w:rsidRPr="00185BD8">
        <w:rPr>
          <w:rFonts w:ascii="Arial" w:hAnsi="Arial" w:cs="Arial"/>
          <w:b/>
          <w:sz w:val="24"/>
          <w:szCs w:val="24"/>
        </w:rPr>
        <w:t>IN THE MATTER OF THE WINTER TRUST, THE SUMMER TRUST AND THE SPRING TRUST</w:t>
      </w:r>
    </w:p>
    <w:p w:rsidR="0092672E" w:rsidRPr="00185BD8" w:rsidRDefault="0092672E" w:rsidP="00145589">
      <w:pPr>
        <w:jc w:val="both"/>
        <w:rPr>
          <w:rFonts w:ascii="Arial" w:hAnsi="Arial" w:cs="Arial"/>
          <w:b/>
          <w:sz w:val="24"/>
          <w:szCs w:val="24"/>
        </w:rPr>
      </w:pPr>
    </w:p>
    <w:p w:rsidR="00B66867" w:rsidRPr="00185BD8" w:rsidRDefault="00B66867" w:rsidP="00145589">
      <w:pPr>
        <w:jc w:val="both"/>
        <w:rPr>
          <w:rFonts w:ascii="Arial" w:hAnsi="Arial" w:cs="Arial"/>
          <w:b/>
          <w:sz w:val="24"/>
          <w:szCs w:val="24"/>
        </w:rPr>
      </w:pPr>
      <w:r w:rsidRPr="00185BD8">
        <w:rPr>
          <w:rFonts w:ascii="Arial" w:hAnsi="Arial" w:cs="Arial"/>
          <w:b/>
          <w:sz w:val="24"/>
          <w:szCs w:val="24"/>
        </w:rPr>
        <w:t>BETWEEN</w:t>
      </w:r>
    </w:p>
    <w:p w:rsidR="00B66867" w:rsidRPr="00185BD8" w:rsidRDefault="00B66867" w:rsidP="00B66867">
      <w:pPr>
        <w:pStyle w:val="ListParagraph"/>
        <w:jc w:val="both"/>
        <w:rPr>
          <w:rFonts w:ascii="Arial" w:hAnsi="Arial" w:cs="Arial"/>
          <w:sz w:val="24"/>
          <w:szCs w:val="24"/>
        </w:rPr>
      </w:pPr>
    </w:p>
    <w:p w:rsidR="0092672E" w:rsidRPr="00185BD8" w:rsidRDefault="0092672E" w:rsidP="00B66867">
      <w:pPr>
        <w:pStyle w:val="ListParagraph"/>
        <w:jc w:val="center"/>
        <w:rPr>
          <w:rFonts w:ascii="Arial" w:hAnsi="Arial" w:cs="Arial"/>
          <w:b/>
          <w:sz w:val="24"/>
          <w:szCs w:val="24"/>
        </w:rPr>
      </w:pPr>
      <w:r w:rsidRPr="00185BD8">
        <w:rPr>
          <w:rFonts w:ascii="Arial" w:hAnsi="Arial" w:cs="Arial"/>
          <w:b/>
          <w:sz w:val="24"/>
          <w:szCs w:val="24"/>
        </w:rPr>
        <w:t>MATTEO VOLPI</w:t>
      </w:r>
    </w:p>
    <w:p w:rsidR="0092672E" w:rsidRPr="00185BD8" w:rsidRDefault="0092672E" w:rsidP="0092672E">
      <w:pPr>
        <w:pStyle w:val="ListParagraph"/>
        <w:jc w:val="both"/>
        <w:rPr>
          <w:rFonts w:ascii="Arial" w:hAnsi="Arial" w:cs="Arial"/>
          <w:b/>
          <w:sz w:val="24"/>
          <w:szCs w:val="24"/>
        </w:rPr>
      </w:pPr>
      <w:r w:rsidRPr="00185BD8">
        <w:rPr>
          <w:rFonts w:ascii="Arial" w:hAnsi="Arial" w:cs="Arial"/>
          <w:b/>
          <w:sz w:val="24"/>
          <w:szCs w:val="24"/>
        </w:rPr>
        <w:tab/>
      </w:r>
      <w:r w:rsidRPr="00185BD8">
        <w:rPr>
          <w:rFonts w:ascii="Arial" w:hAnsi="Arial" w:cs="Arial"/>
          <w:b/>
          <w:sz w:val="24"/>
          <w:szCs w:val="24"/>
        </w:rPr>
        <w:tab/>
      </w:r>
      <w:r w:rsidRPr="00185BD8">
        <w:rPr>
          <w:rFonts w:ascii="Arial" w:hAnsi="Arial" w:cs="Arial"/>
          <w:b/>
          <w:sz w:val="24"/>
          <w:szCs w:val="24"/>
        </w:rPr>
        <w:tab/>
      </w:r>
      <w:r w:rsidRPr="00185BD8">
        <w:rPr>
          <w:rFonts w:ascii="Arial" w:hAnsi="Arial" w:cs="Arial"/>
          <w:b/>
          <w:sz w:val="24"/>
          <w:szCs w:val="24"/>
        </w:rPr>
        <w:tab/>
      </w:r>
      <w:r w:rsidRPr="00185BD8">
        <w:rPr>
          <w:rFonts w:ascii="Arial" w:hAnsi="Arial" w:cs="Arial"/>
          <w:b/>
          <w:sz w:val="24"/>
          <w:szCs w:val="24"/>
        </w:rPr>
        <w:tab/>
      </w:r>
      <w:r w:rsidRPr="00185BD8">
        <w:rPr>
          <w:rFonts w:ascii="Arial" w:hAnsi="Arial" w:cs="Arial"/>
          <w:b/>
          <w:sz w:val="24"/>
          <w:szCs w:val="24"/>
        </w:rPr>
        <w:tab/>
      </w:r>
      <w:r w:rsidRPr="00185BD8">
        <w:rPr>
          <w:rFonts w:ascii="Arial" w:hAnsi="Arial" w:cs="Arial"/>
          <w:b/>
          <w:sz w:val="24"/>
          <w:szCs w:val="24"/>
        </w:rPr>
        <w:tab/>
      </w:r>
      <w:r w:rsidRPr="00185BD8">
        <w:rPr>
          <w:rFonts w:ascii="Arial" w:hAnsi="Arial" w:cs="Arial"/>
          <w:b/>
          <w:sz w:val="24"/>
          <w:szCs w:val="24"/>
        </w:rPr>
        <w:tab/>
      </w:r>
      <w:r w:rsidRPr="00185BD8">
        <w:rPr>
          <w:rFonts w:ascii="Arial" w:hAnsi="Arial" w:cs="Arial"/>
          <w:b/>
          <w:sz w:val="24"/>
          <w:szCs w:val="24"/>
        </w:rPr>
        <w:tab/>
      </w:r>
      <w:r w:rsidRPr="00185BD8">
        <w:rPr>
          <w:rFonts w:ascii="Arial" w:hAnsi="Arial" w:cs="Arial"/>
          <w:b/>
          <w:sz w:val="24"/>
          <w:szCs w:val="24"/>
        </w:rPr>
        <w:tab/>
        <w:t>Plaintiff</w:t>
      </w:r>
    </w:p>
    <w:p w:rsidR="0092672E" w:rsidRPr="00185BD8" w:rsidRDefault="0092672E" w:rsidP="00B66867">
      <w:pPr>
        <w:pStyle w:val="ListParagraph"/>
        <w:jc w:val="center"/>
        <w:rPr>
          <w:rFonts w:ascii="Arial" w:hAnsi="Arial" w:cs="Arial"/>
          <w:b/>
          <w:sz w:val="24"/>
          <w:szCs w:val="24"/>
        </w:rPr>
      </w:pPr>
    </w:p>
    <w:p w:rsidR="00B66867" w:rsidRPr="00185BD8" w:rsidRDefault="00B66867" w:rsidP="00B66867">
      <w:pPr>
        <w:pStyle w:val="ListParagraph"/>
        <w:jc w:val="center"/>
        <w:rPr>
          <w:rFonts w:ascii="Arial" w:hAnsi="Arial" w:cs="Arial"/>
          <w:b/>
          <w:sz w:val="24"/>
          <w:szCs w:val="24"/>
        </w:rPr>
      </w:pPr>
      <w:r w:rsidRPr="00185BD8">
        <w:rPr>
          <w:rFonts w:ascii="Arial" w:hAnsi="Arial" w:cs="Arial"/>
          <w:b/>
          <w:sz w:val="24"/>
          <w:szCs w:val="24"/>
        </w:rPr>
        <w:t>AND</w:t>
      </w:r>
    </w:p>
    <w:p w:rsidR="00B66867" w:rsidRPr="00185BD8" w:rsidRDefault="00B66867" w:rsidP="00B66867">
      <w:pPr>
        <w:pStyle w:val="ListParagraph"/>
        <w:jc w:val="center"/>
        <w:rPr>
          <w:rFonts w:ascii="Arial" w:hAnsi="Arial" w:cs="Arial"/>
          <w:b/>
          <w:sz w:val="24"/>
          <w:szCs w:val="24"/>
        </w:rPr>
      </w:pPr>
    </w:p>
    <w:p w:rsidR="0092672E" w:rsidRPr="00185BD8" w:rsidRDefault="0092672E" w:rsidP="0092672E">
      <w:pPr>
        <w:pStyle w:val="ListParagraph"/>
        <w:numPr>
          <w:ilvl w:val="0"/>
          <w:numId w:val="3"/>
        </w:numPr>
        <w:jc w:val="center"/>
        <w:rPr>
          <w:rFonts w:ascii="Arial" w:hAnsi="Arial" w:cs="Arial"/>
          <w:b/>
          <w:sz w:val="24"/>
          <w:szCs w:val="24"/>
        </w:rPr>
      </w:pPr>
      <w:r w:rsidRPr="00185BD8">
        <w:rPr>
          <w:rFonts w:ascii="Arial" w:hAnsi="Arial" w:cs="Arial"/>
          <w:b/>
          <w:sz w:val="24"/>
          <w:szCs w:val="24"/>
        </w:rPr>
        <w:t>DELANSON SERVICES LIMITED</w:t>
      </w:r>
    </w:p>
    <w:p w:rsidR="00B66867" w:rsidRPr="00185BD8" w:rsidRDefault="0092672E" w:rsidP="0092672E">
      <w:pPr>
        <w:pStyle w:val="ListParagraph"/>
        <w:numPr>
          <w:ilvl w:val="0"/>
          <w:numId w:val="3"/>
        </w:numPr>
        <w:jc w:val="center"/>
        <w:rPr>
          <w:rFonts w:ascii="Arial" w:hAnsi="Arial" w:cs="Arial"/>
          <w:b/>
          <w:sz w:val="24"/>
          <w:szCs w:val="24"/>
        </w:rPr>
      </w:pPr>
      <w:r w:rsidRPr="00185BD8">
        <w:rPr>
          <w:rFonts w:ascii="Arial" w:hAnsi="Arial" w:cs="Arial"/>
          <w:b/>
          <w:sz w:val="24"/>
          <w:szCs w:val="24"/>
        </w:rPr>
        <w:t>GARBRIELE VOLPI</w:t>
      </w:r>
    </w:p>
    <w:p w:rsidR="0092672E" w:rsidRPr="00185BD8" w:rsidRDefault="0092672E" w:rsidP="0092672E">
      <w:pPr>
        <w:pStyle w:val="ListParagraph"/>
        <w:ind w:left="1080"/>
        <w:rPr>
          <w:rFonts w:ascii="Arial" w:hAnsi="Arial" w:cs="Arial"/>
          <w:b/>
          <w:sz w:val="24"/>
          <w:szCs w:val="24"/>
        </w:rPr>
      </w:pPr>
    </w:p>
    <w:p w:rsidR="0092672E" w:rsidRPr="00185BD8" w:rsidRDefault="0092672E" w:rsidP="0092672E">
      <w:pPr>
        <w:pStyle w:val="ListParagraph"/>
        <w:ind w:left="7920"/>
        <w:rPr>
          <w:rFonts w:ascii="Arial" w:hAnsi="Arial" w:cs="Arial"/>
          <w:b/>
          <w:sz w:val="24"/>
          <w:szCs w:val="24"/>
        </w:rPr>
      </w:pPr>
      <w:r w:rsidRPr="00185BD8">
        <w:rPr>
          <w:rFonts w:ascii="Arial" w:hAnsi="Arial" w:cs="Arial"/>
          <w:b/>
          <w:sz w:val="24"/>
          <w:szCs w:val="24"/>
        </w:rPr>
        <w:t>Defendants</w:t>
      </w:r>
    </w:p>
    <w:p w:rsidR="0092672E" w:rsidRPr="00185BD8" w:rsidRDefault="0092672E" w:rsidP="0092672E">
      <w:pPr>
        <w:rPr>
          <w:rFonts w:ascii="Arial" w:hAnsi="Arial" w:cs="Arial"/>
          <w:sz w:val="24"/>
          <w:szCs w:val="24"/>
        </w:rPr>
      </w:pPr>
      <w:r w:rsidRPr="00185BD8">
        <w:rPr>
          <w:rFonts w:ascii="Arial" w:hAnsi="Arial" w:cs="Arial"/>
          <w:b/>
          <w:sz w:val="24"/>
          <w:szCs w:val="24"/>
        </w:rPr>
        <w:t xml:space="preserve">Before:  </w:t>
      </w:r>
      <w:r w:rsidRPr="00185BD8">
        <w:rPr>
          <w:rFonts w:ascii="Arial" w:hAnsi="Arial" w:cs="Arial"/>
          <w:b/>
          <w:sz w:val="24"/>
          <w:szCs w:val="24"/>
        </w:rPr>
        <w:tab/>
      </w:r>
      <w:r w:rsidRPr="00185BD8">
        <w:rPr>
          <w:rFonts w:ascii="Arial" w:hAnsi="Arial" w:cs="Arial"/>
          <w:b/>
          <w:sz w:val="24"/>
          <w:szCs w:val="24"/>
        </w:rPr>
        <w:tab/>
      </w:r>
      <w:r w:rsidRPr="00185BD8">
        <w:rPr>
          <w:rFonts w:ascii="Arial" w:hAnsi="Arial" w:cs="Arial"/>
          <w:sz w:val="24"/>
          <w:szCs w:val="24"/>
        </w:rPr>
        <w:t>Registrar, Camille Darville Gomez</w:t>
      </w:r>
    </w:p>
    <w:p w:rsidR="003641B0" w:rsidRPr="00185BD8" w:rsidRDefault="003641B0" w:rsidP="0092672E">
      <w:pPr>
        <w:rPr>
          <w:rFonts w:ascii="Arial" w:hAnsi="Arial" w:cs="Arial"/>
          <w:b/>
          <w:sz w:val="24"/>
          <w:szCs w:val="24"/>
        </w:rPr>
      </w:pPr>
    </w:p>
    <w:p w:rsidR="0092672E" w:rsidRPr="00185BD8" w:rsidRDefault="0092672E" w:rsidP="00A54297">
      <w:pPr>
        <w:ind w:left="2160" w:hanging="2160"/>
        <w:rPr>
          <w:rFonts w:ascii="Arial" w:hAnsi="Arial" w:cs="Arial"/>
          <w:sz w:val="24"/>
          <w:szCs w:val="24"/>
        </w:rPr>
      </w:pPr>
      <w:r w:rsidRPr="00185BD8">
        <w:rPr>
          <w:rFonts w:ascii="Arial" w:hAnsi="Arial" w:cs="Arial"/>
          <w:b/>
          <w:sz w:val="24"/>
          <w:szCs w:val="24"/>
        </w:rPr>
        <w:t xml:space="preserve">Appearances: </w:t>
      </w:r>
      <w:r w:rsidRPr="00185BD8">
        <w:rPr>
          <w:rFonts w:ascii="Arial" w:hAnsi="Arial" w:cs="Arial"/>
          <w:b/>
          <w:sz w:val="24"/>
          <w:szCs w:val="24"/>
        </w:rPr>
        <w:tab/>
      </w:r>
      <w:r w:rsidRPr="00185BD8">
        <w:rPr>
          <w:rFonts w:ascii="Arial" w:hAnsi="Arial" w:cs="Arial"/>
          <w:sz w:val="24"/>
          <w:szCs w:val="24"/>
        </w:rPr>
        <w:t xml:space="preserve">Miss Knidjah Knowles </w:t>
      </w:r>
      <w:r w:rsidR="00A54297">
        <w:rPr>
          <w:rFonts w:ascii="Arial" w:hAnsi="Arial" w:cs="Arial"/>
          <w:sz w:val="24"/>
          <w:szCs w:val="24"/>
        </w:rPr>
        <w:t xml:space="preserve">and Miss Alexandria Russell with her </w:t>
      </w:r>
      <w:r w:rsidRPr="00185BD8">
        <w:rPr>
          <w:rFonts w:ascii="Arial" w:hAnsi="Arial" w:cs="Arial"/>
          <w:sz w:val="24"/>
          <w:szCs w:val="24"/>
        </w:rPr>
        <w:t>for the Plaintiff</w:t>
      </w:r>
      <w:r w:rsidR="005A4291" w:rsidRPr="00185BD8">
        <w:rPr>
          <w:rFonts w:ascii="Arial" w:hAnsi="Arial" w:cs="Arial"/>
          <w:sz w:val="24"/>
          <w:szCs w:val="24"/>
        </w:rPr>
        <w:t xml:space="preserve"> (the Paying Party)</w:t>
      </w:r>
    </w:p>
    <w:p w:rsidR="004C7335" w:rsidRPr="00185BD8" w:rsidRDefault="004C7335" w:rsidP="0092672E">
      <w:pPr>
        <w:ind w:left="2160"/>
        <w:rPr>
          <w:rFonts w:ascii="Arial" w:hAnsi="Arial" w:cs="Arial"/>
          <w:sz w:val="24"/>
          <w:szCs w:val="24"/>
        </w:rPr>
      </w:pPr>
    </w:p>
    <w:p w:rsidR="0092672E" w:rsidRPr="00185BD8" w:rsidRDefault="0092672E" w:rsidP="0092672E">
      <w:pPr>
        <w:ind w:left="2160"/>
        <w:rPr>
          <w:rFonts w:ascii="Arial" w:hAnsi="Arial" w:cs="Arial"/>
          <w:sz w:val="24"/>
          <w:szCs w:val="24"/>
        </w:rPr>
      </w:pPr>
      <w:r w:rsidRPr="00185BD8">
        <w:rPr>
          <w:rFonts w:ascii="Arial" w:hAnsi="Arial" w:cs="Arial"/>
          <w:sz w:val="24"/>
          <w:szCs w:val="24"/>
        </w:rPr>
        <w:t xml:space="preserve">Mr. Terry North with him Miss Wynsome Carey and Mr. Richard Horton for the </w:t>
      </w:r>
      <w:r w:rsidR="005A4291" w:rsidRPr="00185BD8">
        <w:rPr>
          <w:rFonts w:ascii="Arial" w:hAnsi="Arial" w:cs="Arial"/>
          <w:sz w:val="24"/>
          <w:szCs w:val="24"/>
        </w:rPr>
        <w:t xml:space="preserve">Second </w:t>
      </w:r>
      <w:r w:rsidRPr="00185BD8">
        <w:rPr>
          <w:rFonts w:ascii="Arial" w:hAnsi="Arial" w:cs="Arial"/>
          <w:sz w:val="24"/>
          <w:szCs w:val="24"/>
        </w:rPr>
        <w:t>Defendant</w:t>
      </w:r>
      <w:r w:rsidR="005A4291" w:rsidRPr="00185BD8">
        <w:rPr>
          <w:rFonts w:ascii="Arial" w:hAnsi="Arial" w:cs="Arial"/>
          <w:sz w:val="24"/>
          <w:szCs w:val="24"/>
        </w:rPr>
        <w:t xml:space="preserve"> (the Receiving Party)</w:t>
      </w:r>
    </w:p>
    <w:p w:rsidR="003641B0" w:rsidRPr="00185BD8" w:rsidRDefault="003641B0" w:rsidP="0092672E">
      <w:pPr>
        <w:rPr>
          <w:rFonts w:ascii="Arial" w:hAnsi="Arial" w:cs="Arial"/>
          <w:b/>
          <w:sz w:val="24"/>
          <w:szCs w:val="24"/>
        </w:rPr>
      </w:pPr>
    </w:p>
    <w:p w:rsidR="0092672E" w:rsidRPr="00185BD8" w:rsidRDefault="0092672E" w:rsidP="0092672E">
      <w:pPr>
        <w:rPr>
          <w:rFonts w:ascii="Arial" w:hAnsi="Arial" w:cs="Arial"/>
          <w:sz w:val="24"/>
          <w:szCs w:val="24"/>
        </w:rPr>
      </w:pPr>
      <w:r w:rsidRPr="00185BD8">
        <w:rPr>
          <w:rFonts w:ascii="Arial" w:hAnsi="Arial" w:cs="Arial"/>
          <w:b/>
          <w:sz w:val="24"/>
          <w:szCs w:val="24"/>
        </w:rPr>
        <w:t>Hearing Dates:</w:t>
      </w:r>
      <w:r w:rsidRPr="00185BD8">
        <w:rPr>
          <w:rFonts w:ascii="Arial" w:hAnsi="Arial" w:cs="Arial"/>
          <w:b/>
          <w:sz w:val="24"/>
          <w:szCs w:val="24"/>
        </w:rPr>
        <w:tab/>
      </w:r>
      <w:r w:rsidRPr="00185BD8">
        <w:rPr>
          <w:rFonts w:ascii="Arial" w:hAnsi="Arial" w:cs="Arial"/>
          <w:sz w:val="24"/>
          <w:szCs w:val="24"/>
        </w:rPr>
        <w:t>9 September, 2020; 9 October, 2020; 26 November, 2020</w:t>
      </w:r>
    </w:p>
    <w:p w:rsidR="0092672E" w:rsidRDefault="0092672E" w:rsidP="0092672E">
      <w:pPr>
        <w:rPr>
          <w:rFonts w:ascii="Arial" w:hAnsi="Arial" w:cs="Arial"/>
          <w:sz w:val="24"/>
          <w:szCs w:val="24"/>
        </w:rPr>
      </w:pPr>
    </w:p>
    <w:p w:rsidR="00BA62C8" w:rsidRDefault="00BA62C8" w:rsidP="0092672E">
      <w:pPr>
        <w:rPr>
          <w:rFonts w:ascii="Arial" w:hAnsi="Arial" w:cs="Arial"/>
          <w:b/>
          <w:sz w:val="24"/>
          <w:szCs w:val="24"/>
        </w:rPr>
      </w:pPr>
      <w:r>
        <w:rPr>
          <w:rFonts w:ascii="Arial" w:hAnsi="Arial" w:cs="Arial"/>
          <w:b/>
          <w:sz w:val="24"/>
          <w:szCs w:val="24"/>
        </w:rPr>
        <w:t>Taxation of costs – the recoverability of foreign lawyers’ fees on a party and party basis</w:t>
      </w:r>
    </w:p>
    <w:p w:rsidR="00BA62C8" w:rsidRPr="00BA62C8" w:rsidRDefault="00BA62C8" w:rsidP="0092672E">
      <w:pPr>
        <w:rPr>
          <w:rFonts w:ascii="Arial" w:hAnsi="Arial" w:cs="Arial"/>
          <w:b/>
          <w:sz w:val="24"/>
          <w:szCs w:val="24"/>
        </w:rPr>
      </w:pPr>
    </w:p>
    <w:p w:rsidR="004B0E86" w:rsidRPr="00185BD8" w:rsidRDefault="004B0E86" w:rsidP="00B77D9A">
      <w:pPr>
        <w:pStyle w:val="ListParagraph"/>
        <w:numPr>
          <w:ilvl w:val="0"/>
          <w:numId w:val="1"/>
        </w:numPr>
        <w:jc w:val="both"/>
        <w:rPr>
          <w:rFonts w:ascii="Arial" w:hAnsi="Arial" w:cs="Arial"/>
          <w:sz w:val="24"/>
          <w:szCs w:val="24"/>
        </w:rPr>
      </w:pPr>
      <w:r w:rsidRPr="00185BD8">
        <w:rPr>
          <w:rFonts w:ascii="Arial" w:hAnsi="Arial" w:cs="Arial"/>
          <w:sz w:val="24"/>
          <w:szCs w:val="24"/>
        </w:rPr>
        <w:t>Th</w:t>
      </w:r>
      <w:r w:rsidR="004F065C" w:rsidRPr="00185BD8">
        <w:rPr>
          <w:rFonts w:ascii="Arial" w:hAnsi="Arial" w:cs="Arial"/>
          <w:sz w:val="24"/>
          <w:szCs w:val="24"/>
        </w:rPr>
        <w:t xml:space="preserve">is </w:t>
      </w:r>
      <w:r w:rsidR="005A4291" w:rsidRPr="00185BD8">
        <w:rPr>
          <w:rFonts w:ascii="Arial" w:hAnsi="Arial" w:cs="Arial"/>
          <w:sz w:val="24"/>
          <w:szCs w:val="24"/>
        </w:rPr>
        <w:t xml:space="preserve">ruling </w:t>
      </w:r>
      <w:r w:rsidRPr="00185BD8">
        <w:rPr>
          <w:rFonts w:ascii="Arial" w:hAnsi="Arial" w:cs="Arial"/>
          <w:sz w:val="24"/>
          <w:szCs w:val="24"/>
        </w:rPr>
        <w:t>arise</w:t>
      </w:r>
      <w:r w:rsidR="004F065C" w:rsidRPr="00185BD8">
        <w:rPr>
          <w:rFonts w:ascii="Arial" w:hAnsi="Arial" w:cs="Arial"/>
          <w:sz w:val="24"/>
          <w:szCs w:val="24"/>
        </w:rPr>
        <w:t>s</w:t>
      </w:r>
      <w:r w:rsidRPr="00185BD8">
        <w:rPr>
          <w:rFonts w:ascii="Arial" w:hAnsi="Arial" w:cs="Arial"/>
          <w:sz w:val="24"/>
          <w:szCs w:val="24"/>
        </w:rPr>
        <w:t xml:space="preserve"> from </w:t>
      </w:r>
      <w:r w:rsidR="005A4291" w:rsidRPr="00185BD8">
        <w:rPr>
          <w:rFonts w:ascii="Arial" w:hAnsi="Arial" w:cs="Arial"/>
          <w:sz w:val="24"/>
          <w:szCs w:val="24"/>
        </w:rPr>
        <w:t xml:space="preserve">objections raised by the Paying Party on three issues in respect of </w:t>
      </w:r>
      <w:r w:rsidRPr="00185BD8">
        <w:rPr>
          <w:rFonts w:ascii="Arial" w:hAnsi="Arial" w:cs="Arial"/>
          <w:sz w:val="24"/>
          <w:szCs w:val="24"/>
        </w:rPr>
        <w:t xml:space="preserve">a taxation of costs relative to the grant by the Honourable Mr. Justice Ian Winder of a worldwide freezing order in favour of the Plaintiff dated 3 May, 2018 in 2018/CLE/GEN/00474 and subsequently on 4 December, 2018 in 2018/CLE/GEN/01404. </w:t>
      </w:r>
    </w:p>
    <w:p w:rsidR="004B0E86" w:rsidRPr="00185BD8" w:rsidRDefault="004B0E86" w:rsidP="004B0E86">
      <w:pPr>
        <w:pStyle w:val="ListParagraph"/>
        <w:jc w:val="both"/>
        <w:rPr>
          <w:rFonts w:ascii="Arial" w:hAnsi="Arial" w:cs="Arial"/>
          <w:sz w:val="24"/>
          <w:szCs w:val="24"/>
        </w:rPr>
      </w:pPr>
      <w:r w:rsidRPr="00185BD8">
        <w:rPr>
          <w:rFonts w:ascii="Arial" w:hAnsi="Arial" w:cs="Arial"/>
          <w:sz w:val="24"/>
          <w:szCs w:val="24"/>
        </w:rPr>
        <w:t xml:space="preserve"> </w:t>
      </w:r>
    </w:p>
    <w:p w:rsidR="004B0E86" w:rsidRPr="00185BD8" w:rsidRDefault="004B0E86" w:rsidP="00B77D9A">
      <w:pPr>
        <w:pStyle w:val="ListParagraph"/>
        <w:numPr>
          <w:ilvl w:val="0"/>
          <w:numId w:val="1"/>
        </w:numPr>
        <w:jc w:val="both"/>
        <w:rPr>
          <w:rFonts w:ascii="Arial" w:hAnsi="Arial" w:cs="Arial"/>
          <w:sz w:val="24"/>
          <w:szCs w:val="24"/>
        </w:rPr>
      </w:pPr>
      <w:r w:rsidRPr="00185BD8">
        <w:rPr>
          <w:rFonts w:ascii="Arial" w:hAnsi="Arial" w:cs="Arial"/>
          <w:sz w:val="24"/>
          <w:szCs w:val="24"/>
        </w:rPr>
        <w:t>The Court has been asked to determine the following issues:</w:t>
      </w:r>
    </w:p>
    <w:p w:rsidR="00044CEA" w:rsidRPr="00185BD8" w:rsidRDefault="00044CEA" w:rsidP="00044CEA">
      <w:pPr>
        <w:pStyle w:val="ListParagraph"/>
        <w:rPr>
          <w:rFonts w:ascii="Arial" w:hAnsi="Arial" w:cs="Arial"/>
          <w:sz w:val="24"/>
          <w:szCs w:val="24"/>
        </w:rPr>
      </w:pPr>
    </w:p>
    <w:p w:rsidR="00A6044E" w:rsidRPr="00185BD8" w:rsidRDefault="00910454" w:rsidP="00A6044E">
      <w:pPr>
        <w:pStyle w:val="ListParagraph"/>
        <w:numPr>
          <w:ilvl w:val="0"/>
          <w:numId w:val="4"/>
        </w:numPr>
        <w:jc w:val="both"/>
        <w:rPr>
          <w:rFonts w:ascii="Arial" w:hAnsi="Arial" w:cs="Arial"/>
          <w:sz w:val="24"/>
          <w:szCs w:val="24"/>
        </w:rPr>
      </w:pPr>
      <w:r w:rsidRPr="00185BD8">
        <w:rPr>
          <w:rFonts w:ascii="Arial" w:hAnsi="Arial" w:cs="Arial"/>
          <w:sz w:val="24"/>
          <w:szCs w:val="24"/>
        </w:rPr>
        <w:t>W</w:t>
      </w:r>
      <w:r w:rsidR="004B0E86" w:rsidRPr="00185BD8">
        <w:rPr>
          <w:rFonts w:ascii="Arial" w:hAnsi="Arial" w:cs="Arial"/>
          <w:sz w:val="24"/>
          <w:szCs w:val="24"/>
        </w:rPr>
        <w:t>hether the costs incurred post 7 August, 2019 (the date of pronouncement of the Honourable Justice Winder’s cost</w:t>
      </w:r>
      <w:r w:rsidR="00A6044E" w:rsidRPr="00185BD8">
        <w:rPr>
          <w:rFonts w:ascii="Arial" w:hAnsi="Arial" w:cs="Arial"/>
          <w:sz w:val="24"/>
          <w:szCs w:val="24"/>
        </w:rPr>
        <w:t>s order)</w:t>
      </w:r>
      <w:r w:rsidRPr="00185BD8">
        <w:rPr>
          <w:rFonts w:ascii="Arial" w:hAnsi="Arial" w:cs="Arial"/>
          <w:sz w:val="24"/>
          <w:szCs w:val="24"/>
        </w:rPr>
        <w:t xml:space="preserve"> in action 2018/CLE/GEN/01404 </w:t>
      </w:r>
      <w:r w:rsidR="00A6044E" w:rsidRPr="00185BD8">
        <w:rPr>
          <w:rFonts w:ascii="Arial" w:hAnsi="Arial" w:cs="Arial"/>
          <w:sz w:val="24"/>
          <w:szCs w:val="24"/>
        </w:rPr>
        <w:t>are recoverable?</w:t>
      </w:r>
      <w:r w:rsidR="004B0E86" w:rsidRPr="00185BD8">
        <w:rPr>
          <w:rFonts w:ascii="Arial" w:hAnsi="Arial" w:cs="Arial"/>
          <w:sz w:val="24"/>
          <w:szCs w:val="24"/>
        </w:rPr>
        <w:t xml:space="preserve">  </w:t>
      </w:r>
    </w:p>
    <w:p w:rsidR="004B0E86" w:rsidRPr="00185BD8" w:rsidRDefault="00A6044E" w:rsidP="00A6044E">
      <w:pPr>
        <w:pStyle w:val="ListParagraph"/>
        <w:numPr>
          <w:ilvl w:val="0"/>
          <w:numId w:val="4"/>
        </w:numPr>
        <w:jc w:val="both"/>
        <w:rPr>
          <w:rFonts w:ascii="Arial" w:hAnsi="Arial" w:cs="Arial"/>
          <w:sz w:val="24"/>
          <w:szCs w:val="24"/>
        </w:rPr>
      </w:pPr>
      <w:r w:rsidRPr="00185BD8">
        <w:rPr>
          <w:rFonts w:ascii="Arial" w:hAnsi="Arial" w:cs="Arial"/>
          <w:sz w:val="24"/>
          <w:szCs w:val="24"/>
        </w:rPr>
        <w:lastRenderedPageBreak/>
        <w:t xml:space="preserve">Whether </w:t>
      </w:r>
      <w:r w:rsidR="00910454" w:rsidRPr="00185BD8">
        <w:rPr>
          <w:rFonts w:ascii="Arial" w:hAnsi="Arial" w:cs="Arial"/>
          <w:sz w:val="24"/>
          <w:szCs w:val="24"/>
        </w:rPr>
        <w:t xml:space="preserve">in both actions, the fees are </w:t>
      </w:r>
      <w:r w:rsidR="00C624D1" w:rsidRPr="00185BD8">
        <w:rPr>
          <w:rFonts w:ascii="Arial" w:hAnsi="Arial" w:cs="Arial"/>
          <w:sz w:val="24"/>
          <w:szCs w:val="24"/>
        </w:rPr>
        <w:t xml:space="preserve">recoverable </w:t>
      </w:r>
      <w:r w:rsidRPr="00185BD8">
        <w:rPr>
          <w:rFonts w:ascii="Arial" w:hAnsi="Arial" w:cs="Arial"/>
          <w:sz w:val="24"/>
          <w:szCs w:val="24"/>
        </w:rPr>
        <w:t xml:space="preserve">for any </w:t>
      </w:r>
      <w:r w:rsidR="00C624D1" w:rsidRPr="00185BD8">
        <w:rPr>
          <w:rFonts w:ascii="Arial" w:hAnsi="Arial" w:cs="Arial"/>
          <w:sz w:val="24"/>
          <w:szCs w:val="24"/>
        </w:rPr>
        <w:t xml:space="preserve">foreign lawyer </w:t>
      </w:r>
      <w:r w:rsidRPr="00185BD8">
        <w:rPr>
          <w:rFonts w:ascii="Arial" w:hAnsi="Arial" w:cs="Arial"/>
          <w:sz w:val="24"/>
          <w:szCs w:val="24"/>
        </w:rPr>
        <w:t xml:space="preserve">not </w:t>
      </w:r>
      <w:r w:rsidR="00C624D1" w:rsidRPr="00185BD8">
        <w:rPr>
          <w:rFonts w:ascii="Arial" w:hAnsi="Arial" w:cs="Arial"/>
          <w:sz w:val="24"/>
          <w:szCs w:val="24"/>
        </w:rPr>
        <w:t xml:space="preserve">specially admitted </w:t>
      </w:r>
      <w:r w:rsidRPr="00185BD8">
        <w:rPr>
          <w:rFonts w:ascii="Arial" w:hAnsi="Arial" w:cs="Arial"/>
          <w:sz w:val="24"/>
          <w:szCs w:val="24"/>
        </w:rPr>
        <w:t>to the Bar of The Commonwealth of The Bahamas</w:t>
      </w:r>
      <w:r w:rsidR="0035758F" w:rsidRPr="00185BD8">
        <w:rPr>
          <w:rFonts w:ascii="Arial" w:hAnsi="Arial" w:cs="Arial"/>
          <w:sz w:val="24"/>
          <w:szCs w:val="24"/>
        </w:rPr>
        <w:t xml:space="preserve"> or registered as a Registered Associate</w:t>
      </w:r>
      <w:r w:rsidRPr="00185BD8">
        <w:rPr>
          <w:rFonts w:ascii="Arial" w:hAnsi="Arial" w:cs="Arial"/>
          <w:sz w:val="24"/>
          <w:szCs w:val="24"/>
        </w:rPr>
        <w:t>?</w:t>
      </w:r>
    </w:p>
    <w:p w:rsidR="004B0E86" w:rsidRPr="00185BD8" w:rsidRDefault="004B0E86" w:rsidP="004B0E86">
      <w:pPr>
        <w:pStyle w:val="ListParagraph"/>
        <w:rPr>
          <w:rFonts w:ascii="Arial" w:hAnsi="Arial" w:cs="Arial"/>
          <w:sz w:val="24"/>
          <w:szCs w:val="24"/>
        </w:rPr>
      </w:pPr>
    </w:p>
    <w:p w:rsidR="00A864B6" w:rsidRPr="00185BD8" w:rsidRDefault="00A6044E" w:rsidP="00A6044E">
      <w:pPr>
        <w:pStyle w:val="ListParagraph"/>
        <w:numPr>
          <w:ilvl w:val="0"/>
          <w:numId w:val="4"/>
        </w:numPr>
        <w:jc w:val="both"/>
        <w:rPr>
          <w:rFonts w:ascii="Arial" w:hAnsi="Arial" w:cs="Arial"/>
          <w:sz w:val="24"/>
          <w:szCs w:val="24"/>
        </w:rPr>
      </w:pPr>
      <w:r w:rsidRPr="00185BD8">
        <w:rPr>
          <w:rFonts w:ascii="Arial" w:hAnsi="Arial" w:cs="Arial"/>
          <w:sz w:val="24"/>
          <w:szCs w:val="24"/>
        </w:rPr>
        <w:t>Whether the</w:t>
      </w:r>
      <w:r w:rsidR="00C624D1" w:rsidRPr="00185BD8">
        <w:rPr>
          <w:rFonts w:ascii="Arial" w:hAnsi="Arial" w:cs="Arial"/>
          <w:sz w:val="24"/>
          <w:szCs w:val="24"/>
        </w:rPr>
        <w:t xml:space="preserve"> cost incurre</w:t>
      </w:r>
      <w:r w:rsidR="004C7335" w:rsidRPr="00185BD8">
        <w:rPr>
          <w:rFonts w:ascii="Arial" w:hAnsi="Arial" w:cs="Arial"/>
          <w:sz w:val="24"/>
          <w:szCs w:val="24"/>
        </w:rPr>
        <w:t xml:space="preserve">d </w:t>
      </w:r>
      <w:r w:rsidRPr="00185BD8">
        <w:rPr>
          <w:rFonts w:ascii="Arial" w:hAnsi="Arial" w:cs="Arial"/>
          <w:sz w:val="24"/>
          <w:szCs w:val="24"/>
        </w:rPr>
        <w:t xml:space="preserve">of procuring an expert report into English Criminal Law </w:t>
      </w:r>
      <w:r w:rsidR="00C624D1" w:rsidRPr="00185BD8">
        <w:rPr>
          <w:rFonts w:ascii="Arial" w:hAnsi="Arial" w:cs="Arial"/>
          <w:sz w:val="24"/>
          <w:szCs w:val="24"/>
        </w:rPr>
        <w:t>is recoverable</w:t>
      </w:r>
      <w:r w:rsidRPr="00185BD8">
        <w:rPr>
          <w:rFonts w:ascii="Arial" w:hAnsi="Arial" w:cs="Arial"/>
          <w:sz w:val="24"/>
          <w:szCs w:val="24"/>
        </w:rPr>
        <w:t>.</w:t>
      </w:r>
    </w:p>
    <w:p w:rsidR="00A864B6" w:rsidRPr="00185BD8" w:rsidRDefault="00A864B6" w:rsidP="00A864B6">
      <w:pPr>
        <w:jc w:val="both"/>
        <w:rPr>
          <w:rFonts w:ascii="Arial" w:hAnsi="Arial" w:cs="Arial"/>
          <w:sz w:val="24"/>
          <w:szCs w:val="24"/>
        </w:rPr>
      </w:pPr>
    </w:p>
    <w:p w:rsidR="00FA68B9" w:rsidRPr="00185BD8" w:rsidRDefault="00FA68B9" w:rsidP="00FA68B9">
      <w:pPr>
        <w:pStyle w:val="ListParagraph"/>
        <w:numPr>
          <w:ilvl w:val="0"/>
          <w:numId w:val="1"/>
        </w:numPr>
        <w:jc w:val="both"/>
        <w:rPr>
          <w:rFonts w:ascii="Arial" w:hAnsi="Arial" w:cs="Arial"/>
          <w:sz w:val="24"/>
          <w:szCs w:val="24"/>
        </w:rPr>
      </w:pPr>
      <w:r w:rsidRPr="00185BD8">
        <w:rPr>
          <w:rFonts w:ascii="Arial" w:hAnsi="Arial" w:cs="Arial"/>
          <w:sz w:val="24"/>
          <w:szCs w:val="24"/>
        </w:rPr>
        <w:t xml:space="preserve">The costs being taxed in relation to this action are on a party on party basis and the Court is guided by the provisions of Order 59, rule 2(2) and rule 26 of the Rules of the Supreme Court, 1978 (RSC). </w:t>
      </w:r>
    </w:p>
    <w:p w:rsidR="00FA68B9" w:rsidRPr="00185BD8" w:rsidRDefault="00FA68B9" w:rsidP="00C624D1">
      <w:pPr>
        <w:jc w:val="both"/>
        <w:rPr>
          <w:rFonts w:ascii="Arial" w:hAnsi="Arial" w:cs="Arial"/>
          <w:b/>
          <w:sz w:val="24"/>
          <w:szCs w:val="24"/>
        </w:rPr>
      </w:pPr>
    </w:p>
    <w:p w:rsidR="006E6413" w:rsidRPr="00185BD8" w:rsidRDefault="006E6413" w:rsidP="00C624D1">
      <w:pPr>
        <w:jc w:val="both"/>
        <w:rPr>
          <w:rFonts w:ascii="Arial" w:hAnsi="Arial" w:cs="Arial"/>
          <w:b/>
          <w:sz w:val="24"/>
          <w:szCs w:val="24"/>
          <w:u w:val="single"/>
        </w:rPr>
      </w:pPr>
      <w:r w:rsidRPr="00185BD8">
        <w:rPr>
          <w:rFonts w:ascii="Arial" w:hAnsi="Arial" w:cs="Arial"/>
          <w:b/>
          <w:sz w:val="24"/>
          <w:szCs w:val="24"/>
          <w:u w:val="single"/>
        </w:rPr>
        <w:t>Costs post 7 August, 2019</w:t>
      </w:r>
    </w:p>
    <w:p w:rsidR="006E6413" w:rsidRPr="00185BD8" w:rsidRDefault="006E6413" w:rsidP="00C624D1">
      <w:pPr>
        <w:jc w:val="both"/>
        <w:rPr>
          <w:rFonts w:ascii="Arial" w:hAnsi="Arial" w:cs="Arial"/>
          <w:b/>
          <w:sz w:val="24"/>
          <w:szCs w:val="24"/>
        </w:rPr>
      </w:pPr>
    </w:p>
    <w:p w:rsidR="00DE0870" w:rsidRPr="00185BD8" w:rsidRDefault="00DE0870" w:rsidP="00B9012A">
      <w:pPr>
        <w:pStyle w:val="ListParagraph"/>
        <w:numPr>
          <w:ilvl w:val="0"/>
          <w:numId w:val="1"/>
        </w:numPr>
        <w:jc w:val="both"/>
        <w:rPr>
          <w:rFonts w:ascii="Arial" w:hAnsi="Arial" w:cs="Arial"/>
          <w:sz w:val="24"/>
          <w:szCs w:val="24"/>
        </w:rPr>
      </w:pPr>
      <w:r w:rsidRPr="00185BD8">
        <w:rPr>
          <w:rFonts w:ascii="Arial" w:hAnsi="Arial" w:cs="Arial"/>
          <w:sz w:val="24"/>
          <w:szCs w:val="24"/>
        </w:rPr>
        <w:t>The Honourable Justice Ian Winder ordered on 7 August, 2019 that the service of the proceedings be set aside, the freezing injunction be discharged and the Plaintiff’s application be dismissed.  It was further ordered that the Respondents’ costs of (i) the Applicant’s Originating Summons and Summons and (ii) the Respondents’ Summonses be taxed if not agreed and paid by the Applicant…”</w:t>
      </w:r>
    </w:p>
    <w:p w:rsidR="00DE0870" w:rsidRPr="00185BD8" w:rsidRDefault="00DE0870" w:rsidP="00DE0870">
      <w:pPr>
        <w:pStyle w:val="ListParagraph"/>
        <w:jc w:val="both"/>
        <w:rPr>
          <w:rFonts w:ascii="Arial" w:hAnsi="Arial" w:cs="Arial"/>
          <w:sz w:val="24"/>
          <w:szCs w:val="24"/>
        </w:rPr>
      </w:pPr>
    </w:p>
    <w:p w:rsidR="00DE0870" w:rsidRPr="00185BD8" w:rsidRDefault="00DE0870" w:rsidP="00DE0870">
      <w:pPr>
        <w:pStyle w:val="ListParagraph"/>
        <w:numPr>
          <w:ilvl w:val="0"/>
          <w:numId w:val="1"/>
        </w:numPr>
        <w:jc w:val="both"/>
        <w:rPr>
          <w:rFonts w:ascii="Arial" w:hAnsi="Arial" w:cs="Arial"/>
          <w:sz w:val="24"/>
          <w:szCs w:val="24"/>
        </w:rPr>
      </w:pPr>
      <w:r w:rsidRPr="00185BD8">
        <w:rPr>
          <w:rFonts w:ascii="Arial" w:hAnsi="Arial" w:cs="Arial"/>
          <w:sz w:val="24"/>
          <w:szCs w:val="24"/>
        </w:rPr>
        <w:t xml:space="preserve">However, after </w:t>
      </w:r>
      <w:r w:rsidR="006E6413" w:rsidRPr="00185BD8">
        <w:rPr>
          <w:rFonts w:ascii="Arial" w:hAnsi="Arial" w:cs="Arial"/>
          <w:sz w:val="24"/>
          <w:szCs w:val="24"/>
        </w:rPr>
        <w:t xml:space="preserve">the date of the order on </w:t>
      </w:r>
      <w:r w:rsidRPr="00185BD8">
        <w:rPr>
          <w:rFonts w:ascii="Arial" w:hAnsi="Arial" w:cs="Arial"/>
          <w:sz w:val="24"/>
          <w:szCs w:val="24"/>
        </w:rPr>
        <w:t>7 August, 201</w:t>
      </w:r>
      <w:r w:rsidR="006E6413" w:rsidRPr="00185BD8">
        <w:rPr>
          <w:rFonts w:ascii="Arial" w:hAnsi="Arial" w:cs="Arial"/>
          <w:sz w:val="24"/>
          <w:szCs w:val="24"/>
        </w:rPr>
        <w:t xml:space="preserve">9 the Receiving party incurred </w:t>
      </w:r>
      <w:r w:rsidRPr="00185BD8">
        <w:rPr>
          <w:rFonts w:ascii="Arial" w:hAnsi="Arial" w:cs="Arial"/>
          <w:sz w:val="24"/>
          <w:szCs w:val="24"/>
        </w:rPr>
        <w:t>substantial costs</w:t>
      </w:r>
      <w:r w:rsidR="00F96407" w:rsidRPr="00185BD8">
        <w:rPr>
          <w:rFonts w:ascii="Arial" w:hAnsi="Arial" w:cs="Arial"/>
          <w:sz w:val="24"/>
          <w:szCs w:val="24"/>
        </w:rPr>
        <w:t xml:space="preserve"> relative to the hearing which occurred on 26 September, 2019</w:t>
      </w:r>
      <w:r w:rsidRPr="00185BD8">
        <w:rPr>
          <w:rFonts w:ascii="Arial" w:hAnsi="Arial" w:cs="Arial"/>
          <w:sz w:val="24"/>
          <w:szCs w:val="24"/>
        </w:rPr>
        <w:t xml:space="preserve"> </w:t>
      </w:r>
      <w:r w:rsidR="006E6413" w:rsidRPr="00185BD8">
        <w:rPr>
          <w:rFonts w:ascii="Arial" w:hAnsi="Arial" w:cs="Arial"/>
          <w:sz w:val="24"/>
          <w:szCs w:val="24"/>
        </w:rPr>
        <w:t xml:space="preserve">which </w:t>
      </w:r>
      <w:r w:rsidRPr="00185BD8">
        <w:rPr>
          <w:rFonts w:ascii="Arial" w:hAnsi="Arial" w:cs="Arial"/>
          <w:sz w:val="24"/>
          <w:szCs w:val="24"/>
        </w:rPr>
        <w:t>the Paying Party</w:t>
      </w:r>
      <w:r w:rsidR="006E6413" w:rsidRPr="00185BD8">
        <w:rPr>
          <w:rFonts w:ascii="Arial" w:hAnsi="Arial" w:cs="Arial"/>
          <w:sz w:val="24"/>
          <w:szCs w:val="24"/>
        </w:rPr>
        <w:t xml:space="preserve"> sought to have disallowed on the basis that there was no authority to recover them.</w:t>
      </w:r>
      <w:r w:rsidRPr="00185BD8">
        <w:rPr>
          <w:rFonts w:ascii="Arial" w:hAnsi="Arial" w:cs="Arial"/>
          <w:sz w:val="24"/>
          <w:szCs w:val="24"/>
        </w:rPr>
        <w:t xml:space="preserve"> </w:t>
      </w:r>
    </w:p>
    <w:p w:rsidR="002C2706" w:rsidRPr="00185BD8" w:rsidRDefault="002C2706" w:rsidP="002C2706">
      <w:pPr>
        <w:pStyle w:val="ListParagraph"/>
        <w:jc w:val="both"/>
        <w:rPr>
          <w:rFonts w:ascii="Arial" w:hAnsi="Arial" w:cs="Arial"/>
          <w:sz w:val="24"/>
          <w:szCs w:val="24"/>
        </w:rPr>
      </w:pPr>
    </w:p>
    <w:p w:rsidR="00B9012A" w:rsidRPr="00185BD8" w:rsidRDefault="006E6413" w:rsidP="00B9012A">
      <w:pPr>
        <w:pStyle w:val="ListParagraph"/>
        <w:numPr>
          <w:ilvl w:val="0"/>
          <w:numId w:val="1"/>
        </w:numPr>
        <w:jc w:val="both"/>
        <w:rPr>
          <w:rFonts w:ascii="Arial" w:hAnsi="Arial" w:cs="Arial"/>
          <w:sz w:val="24"/>
          <w:szCs w:val="24"/>
        </w:rPr>
      </w:pPr>
      <w:r w:rsidRPr="00185BD8">
        <w:rPr>
          <w:rFonts w:ascii="Arial" w:hAnsi="Arial" w:cs="Arial"/>
          <w:sz w:val="24"/>
          <w:szCs w:val="24"/>
        </w:rPr>
        <w:t xml:space="preserve">I </w:t>
      </w:r>
      <w:r w:rsidR="00910454" w:rsidRPr="00185BD8">
        <w:rPr>
          <w:rFonts w:ascii="Arial" w:hAnsi="Arial" w:cs="Arial"/>
          <w:sz w:val="24"/>
          <w:szCs w:val="24"/>
        </w:rPr>
        <w:t xml:space="preserve">gave an oral ruling during the course of the taxation in relation </w:t>
      </w:r>
      <w:r w:rsidR="00B9012A" w:rsidRPr="00185BD8">
        <w:rPr>
          <w:rFonts w:ascii="Arial" w:hAnsi="Arial" w:cs="Arial"/>
          <w:sz w:val="24"/>
          <w:szCs w:val="24"/>
        </w:rPr>
        <w:t xml:space="preserve">to </w:t>
      </w:r>
      <w:r w:rsidR="00F96407" w:rsidRPr="00185BD8">
        <w:rPr>
          <w:rFonts w:ascii="Arial" w:hAnsi="Arial" w:cs="Arial"/>
          <w:sz w:val="24"/>
          <w:szCs w:val="24"/>
        </w:rPr>
        <w:t xml:space="preserve">this </w:t>
      </w:r>
      <w:r w:rsidRPr="00185BD8">
        <w:rPr>
          <w:rFonts w:ascii="Arial" w:hAnsi="Arial" w:cs="Arial"/>
          <w:sz w:val="24"/>
          <w:szCs w:val="24"/>
        </w:rPr>
        <w:t xml:space="preserve">issue which </w:t>
      </w:r>
      <w:r w:rsidR="00DE0870" w:rsidRPr="00185BD8">
        <w:rPr>
          <w:rFonts w:ascii="Arial" w:hAnsi="Arial" w:cs="Arial"/>
          <w:sz w:val="24"/>
          <w:szCs w:val="24"/>
        </w:rPr>
        <w:t>I repeat here</w:t>
      </w:r>
      <w:r w:rsidR="00B9012A" w:rsidRPr="00185BD8">
        <w:rPr>
          <w:rFonts w:ascii="Arial" w:hAnsi="Arial" w:cs="Arial"/>
          <w:sz w:val="24"/>
          <w:szCs w:val="24"/>
        </w:rPr>
        <w:t>:</w:t>
      </w:r>
    </w:p>
    <w:p w:rsidR="00B9012A" w:rsidRPr="00185BD8" w:rsidRDefault="00B9012A" w:rsidP="00B9012A">
      <w:pPr>
        <w:ind w:left="360"/>
        <w:jc w:val="both"/>
        <w:rPr>
          <w:rFonts w:ascii="Arial" w:hAnsi="Arial" w:cs="Arial"/>
          <w:sz w:val="24"/>
          <w:szCs w:val="24"/>
        </w:rPr>
      </w:pPr>
    </w:p>
    <w:p w:rsidR="00B9012A" w:rsidRPr="00185BD8" w:rsidRDefault="00B9012A" w:rsidP="00B9012A">
      <w:pPr>
        <w:pStyle w:val="ListParagraph"/>
        <w:numPr>
          <w:ilvl w:val="0"/>
          <w:numId w:val="5"/>
        </w:numPr>
        <w:jc w:val="both"/>
        <w:rPr>
          <w:rFonts w:ascii="Arial" w:hAnsi="Arial" w:cs="Arial"/>
          <w:sz w:val="24"/>
          <w:szCs w:val="24"/>
        </w:rPr>
      </w:pPr>
      <w:r w:rsidRPr="00185BD8">
        <w:rPr>
          <w:rFonts w:ascii="Arial" w:hAnsi="Arial" w:cs="Arial"/>
          <w:sz w:val="24"/>
          <w:szCs w:val="24"/>
        </w:rPr>
        <w:t xml:space="preserve">That the Honouable Mr. Justice Ian Winder </w:t>
      </w:r>
      <w:r w:rsidR="003641B0" w:rsidRPr="00185BD8">
        <w:rPr>
          <w:rFonts w:ascii="Arial" w:hAnsi="Arial" w:cs="Arial"/>
          <w:sz w:val="24"/>
          <w:szCs w:val="24"/>
        </w:rPr>
        <w:t xml:space="preserve">discharged </w:t>
      </w:r>
      <w:r w:rsidRPr="00185BD8">
        <w:rPr>
          <w:rFonts w:ascii="Arial" w:hAnsi="Arial" w:cs="Arial"/>
          <w:sz w:val="24"/>
          <w:szCs w:val="24"/>
        </w:rPr>
        <w:t>the injunction</w:t>
      </w:r>
      <w:r w:rsidR="00F96407" w:rsidRPr="00185BD8">
        <w:rPr>
          <w:rFonts w:ascii="Arial" w:hAnsi="Arial" w:cs="Arial"/>
          <w:sz w:val="24"/>
          <w:szCs w:val="24"/>
        </w:rPr>
        <w:t xml:space="preserve"> and therefore, </w:t>
      </w:r>
      <w:r w:rsidR="00DE0870" w:rsidRPr="00185BD8">
        <w:rPr>
          <w:rFonts w:ascii="Arial" w:hAnsi="Arial" w:cs="Arial"/>
          <w:sz w:val="24"/>
          <w:szCs w:val="24"/>
        </w:rPr>
        <w:t xml:space="preserve">costs </w:t>
      </w:r>
      <w:r w:rsidR="006E6413" w:rsidRPr="00185BD8">
        <w:rPr>
          <w:rFonts w:ascii="Arial" w:hAnsi="Arial" w:cs="Arial"/>
          <w:sz w:val="24"/>
          <w:szCs w:val="24"/>
        </w:rPr>
        <w:t xml:space="preserve">generally </w:t>
      </w:r>
      <w:r w:rsidR="00DE0870" w:rsidRPr="00185BD8">
        <w:rPr>
          <w:rFonts w:ascii="Arial" w:hAnsi="Arial" w:cs="Arial"/>
          <w:sz w:val="24"/>
          <w:szCs w:val="24"/>
        </w:rPr>
        <w:t xml:space="preserve">follow </w:t>
      </w:r>
      <w:r w:rsidRPr="00185BD8">
        <w:rPr>
          <w:rFonts w:ascii="Arial" w:hAnsi="Arial" w:cs="Arial"/>
          <w:sz w:val="24"/>
          <w:szCs w:val="24"/>
        </w:rPr>
        <w:t>the event.</w:t>
      </w:r>
    </w:p>
    <w:p w:rsidR="00F96407" w:rsidRPr="00185BD8" w:rsidRDefault="00F96407" w:rsidP="00B9012A">
      <w:pPr>
        <w:pStyle w:val="ListParagraph"/>
        <w:numPr>
          <w:ilvl w:val="0"/>
          <w:numId w:val="5"/>
        </w:numPr>
        <w:jc w:val="both"/>
        <w:rPr>
          <w:rFonts w:ascii="Arial" w:hAnsi="Arial" w:cs="Arial"/>
          <w:sz w:val="24"/>
          <w:szCs w:val="24"/>
        </w:rPr>
      </w:pPr>
      <w:r w:rsidRPr="00185BD8">
        <w:rPr>
          <w:rFonts w:ascii="Arial" w:hAnsi="Arial" w:cs="Arial"/>
          <w:sz w:val="24"/>
          <w:szCs w:val="24"/>
        </w:rPr>
        <w:t>That the order of 7 August, 2019 was unequivocal</w:t>
      </w:r>
    </w:p>
    <w:p w:rsidR="00B9012A" w:rsidRPr="00185BD8" w:rsidRDefault="00B9012A" w:rsidP="00B9012A">
      <w:pPr>
        <w:pStyle w:val="ListParagraph"/>
        <w:numPr>
          <w:ilvl w:val="0"/>
          <w:numId w:val="5"/>
        </w:numPr>
        <w:jc w:val="both"/>
        <w:rPr>
          <w:rFonts w:ascii="Arial" w:hAnsi="Arial" w:cs="Arial"/>
          <w:sz w:val="24"/>
          <w:szCs w:val="24"/>
        </w:rPr>
      </w:pPr>
      <w:r w:rsidRPr="00185BD8">
        <w:rPr>
          <w:rFonts w:ascii="Arial" w:hAnsi="Arial" w:cs="Arial"/>
          <w:sz w:val="24"/>
          <w:szCs w:val="24"/>
        </w:rPr>
        <w:t>That the determination of the application to extend the injunction presume</w:t>
      </w:r>
      <w:r w:rsidR="00627ED9" w:rsidRPr="00185BD8">
        <w:rPr>
          <w:rFonts w:ascii="Arial" w:hAnsi="Arial" w:cs="Arial"/>
          <w:sz w:val="24"/>
          <w:szCs w:val="24"/>
        </w:rPr>
        <w:t>d</w:t>
      </w:r>
      <w:r w:rsidRPr="00185BD8">
        <w:rPr>
          <w:rFonts w:ascii="Arial" w:hAnsi="Arial" w:cs="Arial"/>
          <w:sz w:val="24"/>
          <w:szCs w:val="24"/>
        </w:rPr>
        <w:t xml:space="preserve"> that the application was refused.</w:t>
      </w:r>
      <w:r w:rsidR="00627ED9" w:rsidRPr="00185BD8">
        <w:rPr>
          <w:rFonts w:ascii="Arial" w:hAnsi="Arial" w:cs="Arial"/>
          <w:sz w:val="24"/>
          <w:szCs w:val="24"/>
        </w:rPr>
        <w:t xml:space="preserve"> I am supported in this view by reference to the transcript at page 15, paragraph 7 where Mr. Moran stated, “</w:t>
      </w:r>
      <w:r w:rsidR="00627ED9" w:rsidRPr="00185BD8">
        <w:rPr>
          <w:rFonts w:ascii="Arial" w:hAnsi="Arial" w:cs="Arial"/>
          <w:i/>
          <w:sz w:val="24"/>
          <w:szCs w:val="24"/>
        </w:rPr>
        <w:t>we make application to extend”.</w:t>
      </w:r>
    </w:p>
    <w:p w:rsidR="00B9012A" w:rsidRPr="00185BD8" w:rsidRDefault="00B9012A" w:rsidP="00B9012A">
      <w:pPr>
        <w:pStyle w:val="ListParagraph"/>
        <w:numPr>
          <w:ilvl w:val="0"/>
          <w:numId w:val="5"/>
        </w:numPr>
        <w:jc w:val="both"/>
        <w:rPr>
          <w:rFonts w:ascii="Arial" w:hAnsi="Arial" w:cs="Arial"/>
          <w:sz w:val="24"/>
          <w:szCs w:val="24"/>
        </w:rPr>
      </w:pPr>
      <w:r w:rsidRPr="00185BD8">
        <w:rPr>
          <w:rFonts w:ascii="Arial" w:hAnsi="Arial" w:cs="Arial"/>
          <w:sz w:val="24"/>
          <w:szCs w:val="24"/>
        </w:rPr>
        <w:t>That the 26</w:t>
      </w:r>
      <w:r w:rsidRPr="00185BD8">
        <w:rPr>
          <w:rFonts w:ascii="Arial" w:hAnsi="Arial" w:cs="Arial"/>
          <w:sz w:val="24"/>
          <w:szCs w:val="24"/>
          <w:vertAlign w:val="superscript"/>
        </w:rPr>
        <w:t xml:space="preserve"> </w:t>
      </w:r>
      <w:r w:rsidRPr="00185BD8">
        <w:rPr>
          <w:rFonts w:ascii="Arial" w:hAnsi="Arial" w:cs="Arial"/>
          <w:sz w:val="24"/>
          <w:szCs w:val="24"/>
        </w:rPr>
        <w:t>September, 2019 application/order did</w:t>
      </w:r>
      <w:r w:rsidR="003A70F3" w:rsidRPr="00185BD8">
        <w:rPr>
          <w:rFonts w:ascii="Arial" w:hAnsi="Arial" w:cs="Arial"/>
          <w:sz w:val="24"/>
          <w:szCs w:val="24"/>
        </w:rPr>
        <w:t xml:space="preserve"> not address the issue of costs therefore, there is no authority </w:t>
      </w:r>
      <w:r w:rsidR="00F96407" w:rsidRPr="00185BD8">
        <w:rPr>
          <w:rFonts w:ascii="Arial" w:hAnsi="Arial" w:cs="Arial"/>
          <w:sz w:val="24"/>
          <w:szCs w:val="24"/>
        </w:rPr>
        <w:t xml:space="preserve">or basis </w:t>
      </w:r>
      <w:r w:rsidR="003A70F3" w:rsidRPr="00185BD8">
        <w:rPr>
          <w:rFonts w:ascii="Arial" w:hAnsi="Arial" w:cs="Arial"/>
          <w:sz w:val="24"/>
          <w:szCs w:val="24"/>
        </w:rPr>
        <w:t>for the Registrar as taxing master to allow them.</w:t>
      </w:r>
      <w:r w:rsidR="00F96407" w:rsidRPr="00185BD8">
        <w:rPr>
          <w:rFonts w:ascii="Arial" w:hAnsi="Arial" w:cs="Arial"/>
          <w:sz w:val="24"/>
          <w:szCs w:val="24"/>
        </w:rPr>
        <w:t xml:space="preserve">  I refer to Order 59, rule 19.</w:t>
      </w:r>
    </w:p>
    <w:p w:rsidR="003641B0" w:rsidRPr="00185BD8" w:rsidRDefault="003641B0" w:rsidP="00B9012A">
      <w:pPr>
        <w:jc w:val="both"/>
        <w:rPr>
          <w:rFonts w:ascii="Arial" w:hAnsi="Arial" w:cs="Arial"/>
          <w:b/>
          <w:sz w:val="24"/>
          <w:szCs w:val="24"/>
          <w:u w:val="single"/>
        </w:rPr>
      </w:pPr>
    </w:p>
    <w:p w:rsidR="00B9012A" w:rsidRPr="00185BD8" w:rsidRDefault="003641B0" w:rsidP="00B9012A">
      <w:pPr>
        <w:jc w:val="both"/>
        <w:rPr>
          <w:rFonts w:ascii="Arial" w:hAnsi="Arial" w:cs="Arial"/>
          <w:b/>
          <w:sz w:val="24"/>
          <w:szCs w:val="24"/>
          <w:u w:val="single"/>
        </w:rPr>
      </w:pPr>
      <w:r w:rsidRPr="00185BD8">
        <w:rPr>
          <w:rFonts w:ascii="Arial" w:hAnsi="Arial" w:cs="Arial"/>
          <w:b/>
          <w:sz w:val="24"/>
          <w:szCs w:val="24"/>
          <w:u w:val="single"/>
        </w:rPr>
        <w:t>Recoverability of Foreign lawyers’ fees</w:t>
      </w:r>
    </w:p>
    <w:p w:rsidR="00FA68B9" w:rsidRPr="00185BD8" w:rsidRDefault="00FA68B9" w:rsidP="00B9012A">
      <w:pPr>
        <w:jc w:val="both"/>
        <w:rPr>
          <w:rFonts w:ascii="Arial" w:hAnsi="Arial" w:cs="Arial"/>
          <w:b/>
          <w:sz w:val="24"/>
          <w:szCs w:val="24"/>
          <w:u w:val="single"/>
        </w:rPr>
      </w:pPr>
    </w:p>
    <w:p w:rsidR="004C083B" w:rsidRPr="00185BD8" w:rsidRDefault="002C2706" w:rsidP="004C083B">
      <w:pPr>
        <w:pStyle w:val="ListParagraph"/>
        <w:numPr>
          <w:ilvl w:val="0"/>
          <w:numId w:val="1"/>
        </w:numPr>
        <w:jc w:val="both"/>
        <w:rPr>
          <w:rFonts w:ascii="Arial" w:hAnsi="Arial" w:cs="Arial"/>
          <w:b/>
          <w:i/>
          <w:sz w:val="24"/>
          <w:szCs w:val="24"/>
        </w:rPr>
      </w:pPr>
      <w:r w:rsidRPr="00185BD8">
        <w:rPr>
          <w:rFonts w:ascii="Arial" w:hAnsi="Arial" w:cs="Arial"/>
          <w:sz w:val="24"/>
          <w:szCs w:val="24"/>
        </w:rPr>
        <w:t xml:space="preserve">The issue of the recovery of the fees for foreign </w:t>
      </w:r>
      <w:r w:rsidR="00F96407" w:rsidRPr="00185BD8">
        <w:rPr>
          <w:rFonts w:ascii="Arial" w:hAnsi="Arial" w:cs="Arial"/>
          <w:sz w:val="24"/>
          <w:szCs w:val="24"/>
        </w:rPr>
        <w:t>lawyers</w:t>
      </w:r>
      <w:r w:rsidR="00FA68B9" w:rsidRPr="00185BD8">
        <w:rPr>
          <w:rFonts w:ascii="Arial" w:hAnsi="Arial" w:cs="Arial"/>
          <w:sz w:val="24"/>
          <w:szCs w:val="24"/>
        </w:rPr>
        <w:t xml:space="preserve"> is not n</w:t>
      </w:r>
      <w:r w:rsidR="007C2B43" w:rsidRPr="00185BD8">
        <w:rPr>
          <w:rFonts w:ascii="Arial" w:hAnsi="Arial" w:cs="Arial"/>
          <w:sz w:val="24"/>
          <w:szCs w:val="24"/>
        </w:rPr>
        <w:t>ovel.</w:t>
      </w:r>
      <w:r w:rsidR="00D35FEF" w:rsidRPr="00185BD8">
        <w:rPr>
          <w:rFonts w:ascii="Arial" w:hAnsi="Arial" w:cs="Arial"/>
          <w:sz w:val="24"/>
          <w:szCs w:val="24"/>
        </w:rPr>
        <w:t xml:space="preserve">  This issue was </w:t>
      </w:r>
      <w:r w:rsidR="00185BD8" w:rsidRPr="00185BD8">
        <w:rPr>
          <w:rFonts w:ascii="Arial" w:hAnsi="Arial" w:cs="Arial"/>
          <w:sz w:val="24"/>
          <w:szCs w:val="24"/>
        </w:rPr>
        <w:t xml:space="preserve">considered </w:t>
      </w:r>
      <w:r w:rsidR="00D35FEF" w:rsidRPr="00185BD8">
        <w:rPr>
          <w:rFonts w:ascii="Arial" w:hAnsi="Arial" w:cs="Arial"/>
          <w:sz w:val="24"/>
          <w:szCs w:val="24"/>
        </w:rPr>
        <w:t xml:space="preserve">in the case of </w:t>
      </w:r>
      <w:r w:rsidR="00D35FEF" w:rsidRPr="00185BD8">
        <w:rPr>
          <w:rFonts w:ascii="Arial" w:hAnsi="Arial" w:cs="Arial"/>
          <w:b/>
          <w:sz w:val="24"/>
          <w:szCs w:val="24"/>
          <w:u w:val="single"/>
        </w:rPr>
        <w:t>Hurt and another v Scheck, Exuma Harbour Estates Limited v Siegel, Raymond, Brent Ltd. and another [2008] 3 BHS J. No. 20</w:t>
      </w:r>
      <w:r w:rsidR="00D35FEF" w:rsidRPr="00185BD8">
        <w:rPr>
          <w:rFonts w:ascii="Arial" w:hAnsi="Arial" w:cs="Arial"/>
          <w:sz w:val="24"/>
          <w:szCs w:val="24"/>
        </w:rPr>
        <w:t xml:space="preserve"> </w:t>
      </w:r>
      <w:r w:rsidR="007C2B43" w:rsidRPr="00185BD8">
        <w:rPr>
          <w:rFonts w:ascii="Arial" w:hAnsi="Arial" w:cs="Arial"/>
          <w:sz w:val="24"/>
          <w:szCs w:val="24"/>
        </w:rPr>
        <w:t xml:space="preserve">by the Honourable Justice Lyons where he readily accepted that </w:t>
      </w:r>
      <w:r w:rsidR="004C083B" w:rsidRPr="00185BD8">
        <w:rPr>
          <w:rFonts w:ascii="Arial" w:hAnsi="Arial" w:cs="Arial"/>
          <w:sz w:val="24"/>
          <w:szCs w:val="24"/>
        </w:rPr>
        <w:t xml:space="preserve">foreign </w:t>
      </w:r>
      <w:r w:rsidR="00F3539B" w:rsidRPr="00185BD8">
        <w:rPr>
          <w:rFonts w:ascii="Arial" w:hAnsi="Arial" w:cs="Arial"/>
          <w:sz w:val="24"/>
          <w:szCs w:val="24"/>
        </w:rPr>
        <w:t>lawyers</w:t>
      </w:r>
      <w:r w:rsidR="004C083B" w:rsidRPr="00185BD8">
        <w:rPr>
          <w:rFonts w:ascii="Arial" w:hAnsi="Arial" w:cs="Arial"/>
          <w:sz w:val="24"/>
          <w:szCs w:val="24"/>
        </w:rPr>
        <w:t xml:space="preserve">’ </w:t>
      </w:r>
      <w:r w:rsidR="007C2B43" w:rsidRPr="00185BD8">
        <w:rPr>
          <w:rFonts w:ascii="Arial" w:hAnsi="Arial" w:cs="Arial"/>
          <w:sz w:val="24"/>
          <w:szCs w:val="24"/>
        </w:rPr>
        <w:t xml:space="preserve">fees </w:t>
      </w:r>
      <w:r w:rsidR="004C083B" w:rsidRPr="00185BD8">
        <w:rPr>
          <w:rFonts w:ascii="Arial" w:hAnsi="Arial" w:cs="Arial"/>
          <w:sz w:val="24"/>
          <w:szCs w:val="24"/>
        </w:rPr>
        <w:t xml:space="preserve">can be claimed in Bahamian litigation, but only if those fees are generated as a result of the Bahamian lawyer requesting those foreign lawyers to do work as agent.  </w:t>
      </w:r>
      <w:r w:rsidR="00185BD8">
        <w:rPr>
          <w:rFonts w:ascii="Arial" w:hAnsi="Arial" w:cs="Arial"/>
          <w:sz w:val="24"/>
          <w:szCs w:val="24"/>
        </w:rPr>
        <w:t>T</w:t>
      </w:r>
      <w:r w:rsidR="004C083B" w:rsidRPr="00185BD8">
        <w:rPr>
          <w:rFonts w:ascii="Arial" w:hAnsi="Arial" w:cs="Arial"/>
          <w:sz w:val="24"/>
          <w:szCs w:val="24"/>
        </w:rPr>
        <w:t>he fee</w:t>
      </w:r>
      <w:r w:rsidR="00185BD8" w:rsidRPr="00185BD8">
        <w:rPr>
          <w:rFonts w:ascii="Arial" w:hAnsi="Arial" w:cs="Arial"/>
          <w:sz w:val="24"/>
          <w:szCs w:val="24"/>
        </w:rPr>
        <w:t>s</w:t>
      </w:r>
      <w:r w:rsidR="004C083B" w:rsidRPr="00185BD8">
        <w:rPr>
          <w:rFonts w:ascii="Arial" w:hAnsi="Arial" w:cs="Arial"/>
          <w:sz w:val="24"/>
          <w:szCs w:val="24"/>
        </w:rPr>
        <w:t xml:space="preserve"> of the foreign lawyer would be chargeable as a disbursement.  Justice Lyons goes on to state that:</w:t>
      </w:r>
    </w:p>
    <w:p w:rsidR="004C083B" w:rsidRPr="00185BD8" w:rsidRDefault="004C083B" w:rsidP="004C083B">
      <w:pPr>
        <w:pStyle w:val="ListParagraph"/>
        <w:jc w:val="both"/>
        <w:rPr>
          <w:rFonts w:ascii="Arial" w:hAnsi="Arial" w:cs="Arial"/>
          <w:b/>
          <w:i/>
          <w:sz w:val="24"/>
          <w:szCs w:val="24"/>
        </w:rPr>
      </w:pPr>
    </w:p>
    <w:p w:rsidR="00A835EE" w:rsidRPr="00185BD8" w:rsidRDefault="007C2B43" w:rsidP="004C083B">
      <w:pPr>
        <w:pStyle w:val="ListParagraph"/>
        <w:ind w:left="1095"/>
        <w:jc w:val="both"/>
        <w:rPr>
          <w:rFonts w:ascii="Arial" w:hAnsi="Arial" w:cs="Arial"/>
          <w:b/>
          <w:i/>
          <w:sz w:val="24"/>
          <w:szCs w:val="24"/>
        </w:rPr>
      </w:pPr>
      <w:r w:rsidRPr="00185BD8">
        <w:rPr>
          <w:rFonts w:ascii="Arial" w:hAnsi="Arial" w:cs="Arial"/>
          <w:b/>
          <w:i/>
          <w:sz w:val="24"/>
          <w:szCs w:val="24"/>
        </w:rPr>
        <w:t xml:space="preserve">“12.  ……Evidence supporting and particularizing this engagement by the Bahamian lawyer should be made available to the taxing officer, </w:t>
      </w:r>
      <w:r w:rsidR="00A835EE" w:rsidRPr="00185BD8">
        <w:rPr>
          <w:rFonts w:ascii="Arial" w:hAnsi="Arial" w:cs="Arial"/>
          <w:b/>
          <w:i/>
          <w:sz w:val="24"/>
          <w:szCs w:val="24"/>
        </w:rPr>
        <w:t xml:space="preserve">be it, for example, </w:t>
      </w:r>
      <w:r w:rsidRPr="00185BD8">
        <w:rPr>
          <w:rFonts w:ascii="Arial" w:hAnsi="Arial" w:cs="Arial"/>
          <w:b/>
          <w:i/>
          <w:sz w:val="24"/>
          <w:szCs w:val="24"/>
        </w:rPr>
        <w:t>by letter of engagement, email</w:t>
      </w:r>
      <w:r w:rsidR="00A835EE" w:rsidRPr="00185BD8">
        <w:rPr>
          <w:rFonts w:ascii="Arial" w:hAnsi="Arial" w:cs="Arial"/>
          <w:b/>
          <w:i/>
          <w:sz w:val="24"/>
          <w:szCs w:val="24"/>
        </w:rPr>
        <w:t xml:space="preserve"> or</w:t>
      </w:r>
      <w:r w:rsidRPr="00185BD8">
        <w:rPr>
          <w:rFonts w:ascii="Arial" w:hAnsi="Arial" w:cs="Arial"/>
          <w:b/>
          <w:i/>
          <w:sz w:val="24"/>
          <w:szCs w:val="24"/>
        </w:rPr>
        <w:t xml:space="preserve"> telephone attendance o</w:t>
      </w:r>
      <w:r w:rsidR="00A835EE" w:rsidRPr="00185BD8">
        <w:rPr>
          <w:rFonts w:ascii="Arial" w:hAnsi="Arial" w:cs="Arial"/>
          <w:b/>
          <w:i/>
          <w:sz w:val="24"/>
          <w:szCs w:val="24"/>
        </w:rPr>
        <w:t>f</w:t>
      </w:r>
      <w:r w:rsidRPr="00185BD8">
        <w:rPr>
          <w:rFonts w:ascii="Arial" w:hAnsi="Arial" w:cs="Arial"/>
          <w:b/>
          <w:i/>
          <w:sz w:val="24"/>
          <w:szCs w:val="24"/>
        </w:rPr>
        <w:t xml:space="preserve"> some other means.</w:t>
      </w:r>
    </w:p>
    <w:p w:rsidR="00A835EE" w:rsidRPr="00185BD8" w:rsidRDefault="00A835EE" w:rsidP="00A835EE">
      <w:pPr>
        <w:jc w:val="both"/>
        <w:rPr>
          <w:rFonts w:ascii="Arial" w:hAnsi="Arial" w:cs="Arial"/>
          <w:sz w:val="24"/>
          <w:szCs w:val="24"/>
        </w:rPr>
      </w:pPr>
    </w:p>
    <w:p w:rsidR="00FA68B9" w:rsidRPr="00185BD8" w:rsidRDefault="00A835EE" w:rsidP="00A835EE">
      <w:pPr>
        <w:ind w:left="1095"/>
        <w:jc w:val="both"/>
        <w:rPr>
          <w:rFonts w:ascii="Arial" w:hAnsi="Arial" w:cs="Arial"/>
          <w:i/>
          <w:sz w:val="24"/>
          <w:szCs w:val="24"/>
        </w:rPr>
      </w:pPr>
      <w:r w:rsidRPr="00185BD8">
        <w:rPr>
          <w:rFonts w:ascii="Arial" w:hAnsi="Arial" w:cs="Arial"/>
          <w:b/>
          <w:i/>
          <w:sz w:val="24"/>
          <w:szCs w:val="24"/>
        </w:rPr>
        <w:t>15.(2) As a general rule the foreign attorneys’ costs must have been generated as a result of a request from the Bahamian lawyer (as principal lawyer) to the foreign lawyer for the foreign lawyer to perform a specified task for and on behalf of the Bahamian lawyer that the Bahamian lawyer could not reasonably do himself.  In general this is for work carried out in the foreign lawyer’s jurisdiction.  The costs of the foreign attorney, billed as a disbursement from the local attorney’s bill of costs, are subjected to the same test as all costs.  Matters of relevance, reasonableness (both as to need and time spent, necessity etc. are considered.</w:t>
      </w:r>
    </w:p>
    <w:p w:rsidR="007C2B43" w:rsidRPr="00185BD8" w:rsidRDefault="007C2B43" w:rsidP="007C2B43">
      <w:pPr>
        <w:pStyle w:val="ListParagraph"/>
        <w:jc w:val="both"/>
        <w:rPr>
          <w:rFonts w:ascii="Arial" w:hAnsi="Arial" w:cs="Arial"/>
          <w:i/>
          <w:sz w:val="24"/>
          <w:szCs w:val="24"/>
        </w:rPr>
      </w:pPr>
    </w:p>
    <w:p w:rsidR="00627ED9" w:rsidRPr="00185BD8" w:rsidRDefault="00986BD7" w:rsidP="00A835EE">
      <w:pPr>
        <w:pStyle w:val="ListParagraph"/>
        <w:numPr>
          <w:ilvl w:val="0"/>
          <w:numId w:val="1"/>
        </w:numPr>
        <w:jc w:val="both"/>
        <w:rPr>
          <w:rFonts w:ascii="Arial" w:hAnsi="Arial" w:cs="Arial"/>
          <w:sz w:val="24"/>
          <w:szCs w:val="24"/>
        </w:rPr>
      </w:pPr>
      <w:r w:rsidRPr="00185BD8">
        <w:rPr>
          <w:rFonts w:ascii="Arial" w:hAnsi="Arial" w:cs="Arial"/>
          <w:sz w:val="24"/>
          <w:szCs w:val="24"/>
        </w:rPr>
        <w:t xml:space="preserve">The case of </w:t>
      </w:r>
      <w:r w:rsidR="00F3539B" w:rsidRPr="00185BD8">
        <w:rPr>
          <w:rFonts w:ascii="Arial" w:hAnsi="Arial" w:cs="Arial"/>
          <w:b/>
          <w:sz w:val="24"/>
          <w:szCs w:val="24"/>
          <w:u w:val="single"/>
        </w:rPr>
        <w:t>Hurt and another v Scheck supra</w:t>
      </w:r>
      <w:r w:rsidR="00F3539B" w:rsidRPr="00185BD8">
        <w:rPr>
          <w:rFonts w:ascii="Arial" w:hAnsi="Arial" w:cs="Arial"/>
          <w:sz w:val="24"/>
          <w:szCs w:val="24"/>
        </w:rPr>
        <w:t xml:space="preserve"> </w:t>
      </w:r>
      <w:r w:rsidRPr="00185BD8">
        <w:rPr>
          <w:rFonts w:ascii="Arial" w:hAnsi="Arial" w:cs="Arial"/>
          <w:sz w:val="24"/>
          <w:szCs w:val="24"/>
        </w:rPr>
        <w:t xml:space="preserve">was followed by </w:t>
      </w:r>
      <w:r w:rsidR="004C083B" w:rsidRPr="00185BD8">
        <w:rPr>
          <w:rFonts w:ascii="Arial" w:hAnsi="Arial" w:cs="Arial"/>
          <w:sz w:val="24"/>
          <w:szCs w:val="24"/>
        </w:rPr>
        <w:t xml:space="preserve">Madame </w:t>
      </w:r>
      <w:r w:rsidRPr="00185BD8">
        <w:rPr>
          <w:rFonts w:ascii="Arial" w:hAnsi="Arial" w:cs="Arial"/>
          <w:sz w:val="24"/>
          <w:szCs w:val="24"/>
        </w:rPr>
        <w:t xml:space="preserve">Deputy Registrar Delancy in the case of </w:t>
      </w:r>
      <w:r w:rsidRPr="00185BD8">
        <w:rPr>
          <w:rFonts w:ascii="Arial" w:hAnsi="Arial" w:cs="Arial"/>
          <w:b/>
          <w:sz w:val="24"/>
          <w:szCs w:val="24"/>
          <w:u w:val="single"/>
        </w:rPr>
        <w:t>Wesley International Limited and Super-Mas Mauritius v Nominee Group of Directors of Wesley International and Actis Consumer Grooming Products Ltd.</w:t>
      </w:r>
      <w:r w:rsidRPr="00185BD8">
        <w:rPr>
          <w:rFonts w:ascii="Arial" w:hAnsi="Arial" w:cs="Arial"/>
          <w:sz w:val="24"/>
          <w:szCs w:val="24"/>
        </w:rPr>
        <w:t xml:space="preserve"> </w:t>
      </w:r>
      <w:r w:rsidR="006B7EC8" w:rsidRPr="00185BD8">
        <w:rPr>
          <w:rFonts w:ascii="Arial" w:hAnsi="Arial" w:cs="Arial"/>
          <w:sz w:val="24"/>
          <w:szCs w:val="24"/>
        </w:rPr>
        <w:t>In this case, t</w:t>
      </w:r>
      <w:r w:rsidRPr="00185BD8">
        <w:rPr>
          <w:rFonts w:ascii="Arial" w:hAnsi="Arial" w:cs="Arial"/>
          <w:sz w:val="24"/>
          <w:szCs w:val="24"/>
        </w:rPr>
        <w:t xml:space="preserve">he Paying Parties opposed the recoverability of the foreign </w:t>
      </w:r>
      <w:r w:rsidR="00185BD8">
        <w:rPr>
          <w:rFonts w:ascii="Arial" w:hAnsi="Arial" w:cs="Arial"/>
          <w:sz w:val="24"/>
          <w:szCs w:val="24"/>
        </w:rPr>
        <w:t>lawyers’</w:t>
      </w:r>
      <w:r w:rsidRPr="00185BD8">
        <w:rPr>
          <w:rFonts w:ascii="Arial" w:hAnsi="Arial" w:cs="Arial"/>
          <w:sz w:val="24"/>
          <w:szCs w:val="24"/>
        </w:rPr>
        <w:t xml:space="preserve"> fees because it amounted to a duplication of work of Bahamian counsel and </w:t>
      </w:r>
      <w:r w:rsidR="004C083B" w:rsidRPr="00185BD8">
        <w:rPr>
          <w:rFonts w:ascii="Arial" w:hAnsi="Arial" w:cs="Arial"/>
          <w:sz w:val="24"/>
          <w:szCs w:val="24"/>
        </w:rPr>
        <w:t xml:space="preserve">the </w:t>
      </w:r>
      <w:r w:rsidRPr="00185BD8">
        <w:rPr>
          <w:rFonts w:ascii="Arial" w:hAnsi="Arial" w:cs="Arial"/>
          <w:sz w:val="24"/>
          <w:szCs w:val="24"/>
        </w:rPr>
        <w:t xml:space="preserve">work performed by the foreign </w:t>
      </w:r>
      <w:r w:rsidR="00185BD8">
        <w:rPr>
          <w:rFonts w:ascii="Arial" w:hAnsi="Arial" w:cs="Arial"/>
          <w:sz w:val="24"/>
          <w:szCs w:val="24"/>
        </w:rPr>
        <w:t xml:space="preserve">lawyers </w:t>
      </w:r>
      <w:r w:rsidRPr="00185BD8">
        <w:rPr>
          <w:rFonts w:ascii="Arial" w:hAnsi="Arial" w:cs="Arial"/>
          <w:sz w:val="24"/>
          <w:szCs w:val="24"/>
        </w:rPr>
        <w:t xml:space="preserve">ought to have been limited to providing formal instructions to Bahamian counsel because they were not specially admitted to practice in this jurisdiction.  </w:t>
      </w:r>
    </w:p>
    <w:p w:rsidR="00F3539B" w:rsidRPr="00185BD8" w:rsidRDefault="00F3539B" w:rsidP="00F3539B">
      <w:pPr>
        <w:pStyle w:val="ListParagraph"/>
        <w:jc w:val="both"/>
        <w:rPr>
          <w:rFonts w:ascii="Arial" w:hAnsi="Arial" w:cs="Arial"/>
          <w:sz w:val="24"/>
          <w:szCs w:val="24"/>
        </w:rPr>
      </w:pPr>
    </w:p>
    <w:p w:rsidR="00F3539B" w:rsidRPr="00185BD8" w:rsidRDefault="00F3539B" w:rsidP="00BF7C5C">
      <w:pPr>
        <w:pStyle w:val="ListParagraph"/>
        <w:numPr>
          <w:ilvl w:val="0"/>
          <w:numId w:val="1"/>
        </w:numPr>
        <w:jc w:val="both"/>
        <w:rPr>
          <w:rFonts w:ascii="Arial" w:hAnsi="Arial" w:cs="Arial"/>
          <w:sz w:val="24"/>
          <w:szCs w:val="24"/>
        </w:rPr>
      </w:pPr>
      <w:r w:rsidRPr="00185BD8">
        <w:rPr>
          <w:rFonts w:ascii="Arial" w:hAnsi="Arial" w:cs="Arial"/>
          <w:sz w:val="24"/>
          <w:szCs w:val="24"/>
        </w:rPr>
        <w:t xml:space="preserve">Madame Deputy Registrar applying </w:t>
      </w:r>
      <w:r w:rsidRPr="00185BD8">
        <w:rPr>
          <w:rFonts w:ascii="Arial" w:hAnsi="Arial" w:cs="Arial"/>
          <w:b/>
          <w:sz w:val="24"/>
          <w:szCs w:val="24"/>
          <w:u w:val="single"/>
        </w:rPr>
        <w:t xml:space="preserve">Hurt and another v Scheck </w:t>
      </w:r>
      <w:r w:rsidRPr="00185BD8">
        <w:rPr>
          <w:rFonts w:ascii="Arial" w:hAnsi="Arial" w:cs="Arial"/>
          <w:sz w:val="24"/>
          <w:szCs w:val="24"/>
          <w:u w:val="single"/>
        </w:rPr>
        <w:t>supra</w:t>
      </w:r>
      <w:r w:rsidRPr="00185BD8">
        <w:rPr>
          <w:rFonts w:ascii="Arial" w:hAnsi="Arial" w:cs="Arial"/>
          <w:sz w:val="24"/>
          <w:szCs w:val="24"/>
        </w:rPr>
        <w:t xml:space="preserve"> ordered the production of documentation or otherwise to support and particularize the engagement of the foreign lawyers.</w:t>
      </w:r>
      <w:r w:rsidR="00BF7C5C" w:rsidRPr="00185BD8">
        <w:rPr>
          <w:rFonts w:ascii="Arial" w:hAnsi="Arial" w:cs="Arial"/>
          <w:sz w:val="24"/>
          <w:szCs w:val="24"/>
        </w:rPr>
        <w:t xml:space="preserve">  She went on further</w:t>
      </w:r>
      <w:r w:rsidR="00185BD8">
        <w:rPr>
          <w:rFonts w:ascii="Arial" w:hAnsi="Arial" w:cs="Arial"/>
          <w:sz w:val="24"/>
          <w:szCs w:val="24"/>
        </w:rPr>
        <w:t>,</w:t>
      </w:r>
      <w:r w:rsidR="00BF7C5C" w:rsidRPr="00185BD8">
        <w:rPr>
          <w:rFonts w:ascii="Arial" w:hAnsi="Arial" w:cs="Arial"/>
          <w:sz w:val="24"/>
          <w:szCs w:val="24"/>
        </w:rPr>
        <w:t xml:space="preserve"> to state that should the taxing master be satisfied on the evidence that </w:t>
      </w:r>
      <w:r w:rsidR="00185BD8">
        <w:rPr>
          <w:rFonts w:ascii="Arial" w:hAnsi="Arial" w:cs="Arial"/>
          <w:sz w:val="24"/>
          <w:szCs w:val="24"/>
        </w:rPr>
        <w:t xml:space="preserve">the </w:t>
      </w:r>
      <w:r w:rsidR="00BF7C5C" w:rsidRPr="00185BD8">
        <w:rPr>
          <w:rFonts w:ascii="Arial" w:hAnsi="Arial" w:cs="Arial"/>
          <w:sz w:val="24"/>
          <w:szCs w:val="24"/>
        </w:rPr>
        <w:t xml:space="preserve">foreign </w:t>
      </w:r>
      <w:r w:rsidR="00185BD8">
        <w:rPr>
          <w:rFonts w:ascii="Arial" w:hAnsi="Arial" w:cs="Arial"/>
          <w:sz w:val="24"/>
          <w:szCs w:val="24"/>
        </w:rPr>
        <w:t xml:space="preserve">lawyers </w:t>
      </w:r>
      <w:r w:rsidR="00BF7C5C" w:rsidRPr="00185BD8">
        <w:rPr>
          <w:rFonts w:ascii="Arial" w:hAnsi="Arial" w:cs="Arial"/>
          <w:sz w:val="24"/>
          <w:szCs w:val="24"/>
        </w:rPr>
        <w:t>w</w:t>
      </w:r>
      <w:r w:rsidR="00185BD8">
        <w:rPr>
          <w:rFonts w:ascii="Arial" w:hAnsi="Arial" w:cs="Arial"/>
          <w:sz w:val="24"/>
          <w:szCs w:val="24"/>
        </w:rPr>
        <w:t>ere</w:t>
      </w:r>
      <w:r w:rsidR="00BF7C5C" w:rsidRPr="00185BD8">
        <w:rPr>
          <w:rFonts w:ascii="Arial" w:hAnsi="Arial" w:cs="Arial"/>
          <w:sz w:val="24"/>
          <w:szCs w:val="24"/>
        </w:rPr>
        <w:t xml:space="preserve"> engaged in accordance with the dictum of Lyons, J in </w:t>
      </w:r>
      <w:r w:rsidR="00BF7C5C" w:rsidRPr="00185BD8">
        <w:rPr>
          <w:rFonts w:ascii="Arial" w:hAnsi="Arial" w:cs="Arial"/>
          <w:b/>
          <w:sz w:val="24"/>
          <w:szCs w:val="24"/>
          <w:u w:val="single"/>
        </w:rPr>
        <w:t>Hurt and another v Scheck supra</w:t>
      </w:r>
      <w:r w:rsidR="00BF7C5C" w:rsidRPr="00185BD8">
        <w:rPr>
          <w:rFonts w:ascii="Arial" w:hAnsi="Arial" w:cs="Arial"/>
          <w:sz w:val="24"/>
          <w:szCs w:val="24"/>
        </w:rPr>
        <w:t xml:space="preserve"> then</w:t>
      </w:r>
      <w:r w:rsidR="00185BD8">
        <w:rPr>
          <w:rFonts w:ascii="Arial" w:hAnsi="Arial" w:cs="Arial"/>
          <w:sz w:val="24"/>
          <w:szCs w:val="24"/>
        </w:rPr>
        <w:t>,</w:t>
      </w:r>
      <w:r w:rsidR="00BF7C5C" w:rsidRPr="00185BD8">
        <w:rPr>
          <w:rFonts w:ascii="Arial" w:hAnsi="Arial" w:cs="Arial"/>
          <w:sz w:val="24"/>
          <w:szCs w:val="24"/>
        </w:rPr>
        <w:t xml:space="preserve"> the disputed costs should be scrutinized in accordance with Order 59 of the RSC to determine whether such costs were necessary or proper for the attainment of justice or for enforcing or defending the rights of the Defendant.</w:t>
      </w:r>
    </w:p>
    <w:p w:rsidR="00BF7C5C" w:rsidRPr="00185BD8" w:rsidRDefault="00BF7C5C" w:rsidP="00BF7C5C">
      <w:pPr>
        <w:pStyle w:val="ListParagraph"/>
        <w:rPr>
          <w:rFonts w:ascii="Arial" w:hAnsi="Arial" w:cs="Arial"/>
          <w:sz w:val="24"/>
          <w:szCs w:val="24"/>
        </w:rPr>
      </w:pPr>
    </w:p>
    <w:p w:rsidR="00BF7C5C" w:rsidRPr="00185BD8" w:rsidRDefault="00BF7C5C" w:rsidP="00BF7C5C">
      <w:pPr>
        <w:pStyle w:val="ListParagraph"/>
        <w:numPr>
          <w:ilvl w:val="0"/>
          <w:numId w:val="1"/>
        </w:numPr>
        <w:jc w:val="both"/>
        <w:rPr>
          <w:rFonts w:ascii="Arial" w:hAnsi="Arial" w:cs="Arial"/>
          <w:sz w:val="24"/>
          <w:szCs w:val="24"/>
        </w:rPr>
      </w:pPr>
      <w:r w:rsidRPr="00185BD8">
        <w:rPr>
          <w:rFonts w:ascii="Arial" w:hAnsi="Arial" w:cs="Arial"/>
          <w:sz w:val="24"/>
          <w:szCs w:val="24"/>
        </w:rPr>
        <w:t xml:space="preserve">The Receiving Party cited the case out of the Eastern Caribbean Supreme Court of </w:t>
      </w:r>
      <w:r w:rsidRPr="00185BD8">
        <w:rPr>
          <w:rFonts w:ascii="Arial" w:hAnsi="Arial" w:cs="Arial"/>
          <w:b/>
          <w:sz w:val="24"/>
          <w:szCs w:val="24"/>
          <w:u w:val="single"/>
        </w:rPr>
        <w:t>Finecroft Ltd. v Lamane Trading Corp. (Claim No. BVIHCV2005/0264, August 31, 2006)</w:t>
      </w:r>
      <w:r w:rsidR="007F096E" w:rsidRPr="00185BD8">
        <w:rPr>
          <w:rFonts w:ascii="Arial" w:hAnsi="Arial" w:cs="Arial"/>
          <w:b/>
          <w:sz w:val="24"/>
          <w:szCs w:val="24"/>
          <w:u w:val="single"/>
        </w:rPr>
        <w:t xml:space="preserve"> </w:t>
      </w:r>
      <w:r w:rsidR="007F096E" w:rsidRPr="00185BD8">
        <w:rPr>
          <w:rFonts w:ascii="Arial" w:hAnsi="Arial" w:cs="Arial"/>
          <w:sz w:val="24"/>
          <w:szCs w:val="24"/>
        </w:rPr>
        <w:t xml:space="preserve">where </w:t>
      </w:r>
      <w:r w:rsidR="00885A68" w:rsidRPr="00185BD8">
        <w:rPr>
          <w:rFonts w:ascii="Arial" w:hAnsi="Arial" w:cs="Arial"/>
          <w:sz w:val="24"/>
          <w:szCs w:val="24"/>
        </w:rPr>
        <w:t>Hariprashad-Charles, J found that a foreign solicitor must be treated for the purposes of taxation, simply as a foreign agent and the charges incurred by these solicitors are charges properly taxable as disbursements in the ordinary course.</w:t>
      </w:r>
    </w:p>
    <w:p w:rsidR="00885A68" w:rsidRPr="00185BD8" w:rsidRDefault="00885A68" w:rsidP="00885A68">
      <w:pPr>
        <w:pStyle w:val="ListParagraph"/>
        <w:rPr>
          <w:rFonts w:ascii="Arial" w:hAnsi="Arial" w:cs="Arial"/>
          <w:sz w:val="24"/>
          <w:szCs w:val="24"/>
        </w:rPr>
      </w:pPr>
    </w:p>
    <w:p w:rsidR="00885A68" w:rsidRPr="00185BD8" w:rsidRDefault="00885A68" w:rsidP="00885A68">
      <w:pPr>
        <w:pStyle w:val="ListParagraph"/>
        <w:numPr>
          <w:ilvl w:val="0"/>
          <w:numId w:val="1"/>
        </w:numPr>
        <w:spacing w:before="240"/>
        <w:jc w:val="both"/>
        <w:rPr>
          <w:rFonts w:ascii="Arial" w:hAnsi="Arial" w:cs="Arial"/>
          <w:sz w:val="24"/>
          <w:szCs w:val="24"/>
        </w:rPr>
      </w:pPr>
      <w:r w:rsidRPr="00185BD8">
        <w:rPr>
          <w:rFonts w:ascii="Arial" w:hAnsi="Arial" w:cs="Arial"/>
          <w:sz w:val="24"/>
          <w:szCs w:val="24"/>
        </w:rPr>
        <w:t xml:space="preserve">Further, the case of </w:t>
      </w:r>
      <w:r w:rsidRPr="00185BD8">
        <w:rPr>
          <w:rFonts w:ascii="Arial" w:hAnsi="Arial" w:cs="Arial"/>
          <w:b/>
          <w:sz w:val="24"/>
          <w:szCs w:val="24"/>
          <w:u w:val="single"/>
        </w:rPr>
        <w:t>Mottley (Re) [1987]</w:t>
      </w:r>
      <w:r w:rsidR="007B1D43" w:rsidRPr="00185BD8">
        <w:rPr>
          <w:rFonts w:ascii="Arial" w:hAnsi="Arial" w:cs="Arial"/>
          <w:b/>
          <w:sz w:val="24"/>
          <w:szCs w:val="24"/>
          <w:u w:val="single"/>
        </w:rPr>
        <w:t xml:space="preserve"> </w:t>
      </w:r>
      <w:r w:rsidRPr="00185BD8">
        <w:rPr>
          <w:rFonts w:ascii="Arial" w:hAnsi="Arial" w:cs="Arial"/>
          <w:b/>
          <w:sz w:val="24"/>
          <w:szCs w:val="24"/>
          <w:u w:val="single"/>
        </w:rPr>
        <w:t>BHS J.No.163</w:t>
      </w:r>
      <w:r w:rsidRPr="00185BD8">
        <w:rPr>
          <w:rFonts w:ascii="Arial" w:hAnsi="Arial" w:cs="Arial"/>
          <w:sz w:val="24"/>
          <w:szCs w:val="24"/>
        </w:rPr>
        <w:t xml:space="preserve"> while insightful on the issue of the employment of foreign counsel </w:t>
      </w:r>
      <w:r w:rsidR="007B1D43" w:rsidRPr="00185BD8">
        <w:rPr>
          <w:rFonts w:ascii="Arial" w:hAnsi="Arial" w:cs="Arial"/>
          <w:sz w:val="24"/>
          <w:szCs w:val="24"/>
        </w:rPr>
        <w:t>for complex matters, is clearly distinguishable from the instant case.  The case concerned the refusal by the Bahamas Bar Council to grant special admission in respect of foreign counsel and not the recoverability of</w:t>
      </w:r>
      <w:r w:rsidR="00185BD8">
        <w:rPr>
          <w:rFonts w:ascii="Arial" w:hAnsi="Arial" w:cs="Arial"/>
          <w:sz w:val="24"/>
          <w:szCs w:val="24"/>
        </w:rPr>
        <w:t xml:space="preserve"> foreign lawyers’</w:t>
      </w:r>
      <w:r w:rsidR="007B1D43" w:rsidRPr="00185BD8">
        <w:rPr>
          <w:rFonts w:ascii="Arial" w:hAnsi="Arial" w:cs="Arial"/>
          <w:sz w:val="24"/>
          <w:szCs w:val="24"/>
        </w:rPr>
        <w:t xml:space="preserve"> fees specifically. </w:t>
      </w:r>
    </w:p>
    <w:p w:rsidR="007B1D43" w:rsidRPr="00185BD8" w:rsidRDefault="007B1D43" w:rsidP="007B1D43">
      <w:pPr>
        <w:pStyle w:val="ListParagraph"/>
        <w:rPr>
          <w:rFonts w:ascii="Arial" w:hAnsi="Arial" w:cs="Arial"/>
          <w:sz w:val="24"/>
          <w:szCs w:val="24"/>
        </w:rPr>
      </w:pPr>
    </w:p>
    <w:p w:rsidR="00185BD8" w:rsidRPr="00185BD8" w:rsidRDefault="007B1D43" w:rsidP="00885A68">
      <w:pPr>
        <w:pStyle w:val="ListParagraph"/>
        <w:numPr>
          <w:ilvl w:val="0"/>
          <w:numId w:val="1"/>
        </w:numPr>
        <w:spacing w:before="240"/>
        <w:jc w:val="both"/>
        <w:rPr>
          <w:rFonts w:ascii="Arial" w:hAnsi="Arial" w:cs="Arial"/>
          <w:b/>
          <w:i/>
          <w:sz w:val="24"/>
          <w:szCs w:val="24"/>
        </w:rPr>
      </w:pPr>
      <w:r w:rsidRPr="00185BD8">
        <w:rPr>
          <w:rFonts w:ascii="Arial" w:hAnsi="Arial" w:cs="Arial"/>
          <w:sz w:val="24"/>
          <w:szCs w:val="24"/>
        </w:rPr>
        <w:lastRenderedPageBreak/>
        <w:t xml:space="preserve">The Paying Party relied on </w:t>
      </w:r>
      <w:r w:rsidRPr="00185BD8">
        <w:rPr>
          <w:rFonts w:ascii="Arial" w:hAnsi="Arial" w:cs="Arial"/>
          <w:b/>
          <w:sz w:val="24"/>
          <w:szCs w:val="24"/>
          <w:u w:val="single"/>
        </w:rPr>
        <w:t>Hurt and another v Scheck supra</w:t>
      </w:r>
      <w:r w:rsidRPr="00185BD8">
        <w:rPr>
          <w:rFonts w:ascii="Arial" w:hAnsi="Arial" w:cs="Arial"/>
          <w:sz w:val="24"/>
          <w:szCs w:val="24"/>
        </w:rPr>
        <w:t xml:space="preserve"> </w:t>
      </w:r>
      <w:r w:rsidR="00185BD8">
        <w:rPr>
          <w:rFonts w:ascii="Arial" w:hAnsi="Arial" w:cs="Arial"/>
          <w:sz w:val="24"/>
          <w:szCs w:val="24"/>
        </w:rPr>
        <w:t xml:space="preserve">to support their submission </w:t>
      </w:r>
      <w:r w:rsidRPr="00185BD8">
        <w:rPr>
          <w:rFonts w:ascii="Arial" w:hAnsi="Arial" w:cs="Arial"/>
          <w:sz w:val="24"/>
          <w:szCs w:val="24"/>
        </w:rPr>
        <w:t xml:space="preserve">that the fees in respect of the services of foreign </w:t>
      </w:r>
      <w:r w:rsidR="00185BD8">
        <w:rPr>
          <w:rFonts w:ascii="Arial" w:hAnsi="Arial" w:cs="Arial"/>
          <w:sz w:val="24"/>
          <w:szCs w:val="24"/>
        </w:rPr>
        <w:t xml:space="preserve">lawyers </w:t>
      </w:r>
      <w:r w:rsidRPr="00185BD8">
        <w:rPr>
          <w:rFonts w:ascii="Arial" w:hAnsi="Arial" w:cs="Arial"/>
          <w:sz w:val="24"/>
          <w:szCs w:val="24"/>
        </w:rPr>
        <w:t xml:space="preserve">who never obtained work permits are not recoverable on that basis.  Lyons J, stated: </w:t>
      </w:r>
    </w:p>
    <w:p w:rsidR="007B1D43" w:rsidRPr="00185BD8" w:rsidRDefault="007B1D43" w:rsidP="00185BD8">
      <w:pPr>
        <w:pStyle w:val="ListParagraph"/>
        <w:spacing w:before="240"/>
        <w:jc w:val="both"/>
        <w:rPr>
          <w:rFonts w:ascii="Arial" w:hAnsi="Arial" w:cs="Arial"/>
          <w:b/>
          <w:i/>
          <w:sz w:val="24"/>
          <w:szCs w:val="24"/>
        </w:rPr>
      </w:pPr>
      <w:r w:rsidRPr="00185BD8">
        <w:rPr>
          <w:rFonts w:ascii="Arial" w:hAnsi="Arial" w:cs="Arial"/>
          <w:b/>
          <w:i/>
          <w:sz w:val="24"/>
          <w:szCs w:val="24"/>
        </w:rPr>
        <w:t>“any foreign person who, without a work permit, works gainfully in The Bahamas, or any person who so engages them, is liable to prosecution.”  Thus, if a local attorney in this case were to claim, as a disbursement, the costs of a foreign attorney for work done in The Bahamas… and that foreign attorney did not possess a work permit for that work, both the Bahamian and foreign attorneys may well have committed a criminal offence.”</w:t>
      </w:r>
    </w:p>
    <w:p w:rsidR="007B1D43" w:rsidRPr="00185BD8" w:rsidRDefault="007B1D43" w:rsidP="007B1D43">
      <w:pPr>
        <w:pStyle w:val="ListParagraph"/>
        <w:rPr>
          <w:rFonts w:ascii="Arial" w:hAnsi="Arial" w:cs="Arial"/>
          <w:sz w:val="24"/>
          <w:szCs w:val="24"/>
        </w:rPr>
      </w:pPr>
    </w:p>
    <w:p w:rsidR="007B1D43" w:rsidRPr="00185BD8" w:rsidRDefault="007B1D43" w:rsidP="00885A68">
      <w:pPr>
        <w:pStyle w:val="ListParagraph"/>
        <w:numPr>
          <w:ilvl w:val="0"/>
          <w:numId w:val="1"/>
        </w:numPr>
        <w:spacing w:before="240"/>
        <w:jc w:val="both"/>
        <w:rPr>
          <w:rFonts w:ascii="Arial" w:hAnsi="Arial" w:cs="Arial"/>
          <w:sz w:val="24"/>
          <w:szCs w:val="24"/>
        </w:rPr>
      </w:pPr>
      <w:r w:rsidRPr="00185BD8">
        <w:rPr>
          <w:rFonts w:ascii="Arial" w:hAnsi="Arial" w:cs="Arial"/>
          <w:sz w:val="24"/>
          <w:szCs w:val="24"/>
        </w:rPr>
        <w:t>The Paying Party</w:t>
      </w:r>
      <w:r w:rsidR="00185BD8">
        <w:rPr>
          <w:rFonts w:ascii="Arial" w:hAnsi="Arial" w:cs="Arial"/>
          <w:sz w:val="24"/>
          <w:szCs w:val="24"/>
        </w:rPr>
        <w:t xml:space="preserve"> noted </w:t>
      </w:r>
      <w:r w:rsidRPr="00185BD8">
        <w:rPr>
          <w:rFonts w:ascii="Arial" w:hAnsi="Arial" w:cs="Arial"/>
          <w:sz w:val="24"/>
          <w:szCs w:val="24"/>
        </w:rPr>
        <w:t>that</w:t>
      </w:r>
      <w:r w:rsidR="006D350E">
        <w:rPr>
          <w:rFonts w:ascii="Arial" w:hAnsi="Arial" w:cs="Arial"/>
          <w:sz w:val="24"/>
          <w:szCs w:val="24"/>
        </w:rPr>
        <w:t xml:space="preserve"> there was no claim in the Bill of Costs for a work permit fee with </w:t>
      </w:r>
      <w:r w:rsidRPr="00185BD8">
        <w:rPr>
          <w:rFonts w:ascii="Arial" w:hAnsi="Arial" w:cs="Arial"/>
          <w:sz w:val="24"/>
          <w:szCs w:val="24"/>
        </w:rPr>
        <w:t xml:space="preserve">respect </w:t>
      </w:r>
      <w:r w:rsidR="006D350E">
        <w:rPr>
          <w:rFonts w:ascii="Arial" w:hAnsi="Arial" w:cs="Arial"/>
          <w:sz w:val="24"/>
          <w:szCs w:val="24"/>
        </w:rPr>
        <w:t>t</w:t>
      </w:r>
      <w:r w:rsidRPr="00185BD8">
        <w:rPr>
          <w:rFonts w:ascii="Arial" w:hAnsi="Arial" w:cs="Arial"/>
          <w:sz w:val="24"/>
          <w:szCs w:val="24"/>
        </w:rPr>
        <w:t>o Ms. Meredith</w:t>
      </w:r>
      <w:r w:rsidR="006D350E">
        <w:rPr>
          <w:rFonts w:ascii="Arial" w:hAnsi="Arial" w:cs="Arial"/>
          <w:sz w:val="24"/>
          <w:szCs w:val="24"/>
        </w:rPr>
        <w:t>,</w:t>
      </w:r>
      <w:r w:rsidRPr="00185BD8">
        <w:rPr>
          <w:rFonts w:ascii="Arial" w:hAnsi="Arial" w:cs="Arial"/>
          <w:sz w:val="24"/>
          <w:szCs w:val="24"/>
        </w:rPr>
        <w:t xml:space="preserve"> </w:t>
      </w:r>
      <w:r w:rsidR="006D350E">
        <w:rPr>
          <w:rFonts w:ascii="Arial" w:hAnsi="Arial" w:cs="Arial"/>
          <w:sz w:val="24"/>
          <w:szCs w:val="24"/>
        </w:rPr>
        <w:t xml:space="preserve">however, there was one </w:t>
      </w:r>
      <w:r w:rsidRPr="00185BD8">
        <w:rPr>
          <w:rFonts w:ascii="Arial" w:hAnsi="Arial" w:cs="Arial"/>
          <w:sz w:val="24"/>
          <w:szCs w:val="24"/>
        </w:rPr>
        <w:t>claimed in respect of St</w:t>
      </w:r>
      <w:r w:rsidR="00684A38" w:rsidRPr="00185BD8">
        <w:rPr>
          <w:rFonts w:ascii="Arial" w:hAnsi="Arial" w:cs="Arial"/>
          <w:sz w:val="24"/>
          <w:szCs w:val="24"/>
        </w:rPr>
        <w:t xml:space="preserve">ephen Smith. Therefore, </w:t>
      </w:r>
      <w:r w:rsidR="006D350E">
        <w:rPr>
          <w:rFonts w:ascii="Arial" w:hAnsi="Arial" w:cs="Arial"/>
          <w:sz w:val="24"/>
          <w:szCs w:val="24"/>
        </w:rPr>
        <w:t xml:space="preserve">it appeared that </w:t>
      </w:r>
      <w:r w:rsidR="00684A38" w:rsidRPr="00185BD8">
        <w:rPr>
          <w:rFonts w:ascii="Arial" w:hAnsi="Arial" w:cs="Arial"/>
          <w:sz w:val="24"/>
          <w:szCs w:val="24"/>
        </w:rPr>
        <w:t>Ms Mer</w:t>
      </w:r>
      <w:r w:rsidR="006D350E">
        <w:rPr>
          <w:rFonts w:ascii="Arial" w:hAnsi="Arial" w:cs="Arial"/>
          <w:sz w:val="24"/>
          <w:szCs w:val="24"/>
        </w:rPr>
        <w:t>e</w:t>
      </w:r>
      <w:r w:rsidR="00684A38" w:rsidRPr="00185BD8">
        <w:rPr>
          <w:rFonts w:ascii="Arial" w:hAnsi="Arial" w:cs="Arial"/>
          <w:sz w:val="24"/>
          <w:szCs w:val="24"/>
        </w:rPr>
        <w:t xml:space="preserve">dith never obtained a work permit.  </w:t>
      </w:r>
      <w:r w:rsidR="006D350E">
        <w:rPr>
          <w:rFonts w:ascii="Arial" w:hAnsi="Arial" w:cs="Arial"/>
          <w:sz w:val="24"/>
          <w:szCs w:val="24"/>
        </w:rPr>
        <w:t xml:space="preserve">Accordingly, it was submitted that the fees relative to work performed by Ms Meredith and frankly, others like her, </w:t>
      </w:r>
      <w:r w:rsidR="00684A38" w:rsidRPr="00185BD8">
        <w:rPr>
          <w:rFonts w:ascii="Arial" w:hAnsi="Arial" w:cs="Arial"/>
          <w:sz w:val="24"/>
          <w:szCs w:val="24"/>
        </w:rPr>
        <w:t>cannot be recovered</w:t>
      </w:r>
      <w:r w:rsidR="006D350E">
        <w:rPr>
          <w:rFonts w:ascii="Arial" w:hAnsi="Arial" w:cs="Arial"/>
          <w:sz w:val="24"/>
          <w:szCs w:val="24"/>
        </w:rPr>
        <w:t xml:space="preserve"> in view of </w:t>
      </w:r>
      <w:r w:rsidR="006D350E" w:rsidRPr="00185BD8">
        <w:rPr>
          <w:rFonts w:ascii="Arial" w:hAnsi="Arial" w:cs="Arial"/>
          <w:b/>
          <w:sz w:val="24"/>
          <w:szCs w:val="24"/>
          <w:u w:val="single"/>
        </w:rPr>
        <w:t>Hurt and another v Scheck supra</w:t>
      </w:r>
      <w:r w:rsidR="006D350E">
        <w:rPr>
          <w:rFonts w:ascii="Arial" w:hAnsi="Arial" w:cs="Arial"/>
          <w:sz w:val="24"/>
          <w:szCs w:val="24"/>
        </w:rPr>
        <w:t>.</w:t>
      </w:r>
    </w:p>
    <w:p w:rsidR="00684A38" w:rsidRPr="00185BD8" w:rsidRDefault="00684A38" w:rsidP="00684A38">
      <w:pPr>
        <w:pStyle w:val="ListParagraph"/>
        <w:rPr>
          <w:rFonts w:ascii="Arial" w:hAnsi="Arial" w:cs="Arial"/>
          <w:sz w:val="24"/>
          <w:szCs w:val="24"/>
        </w:rPr>
      </w:pPr>
    </w:p>
    <w:p w:rsidR="00684A38" w:rsidRPr="00185BD8" w:rsidRDefault="00684A38" w:rsidP="00885A68">
      <w:pPr>
        <w:pStyle w:val="ListParagraph"/>
        <w:numPr>
          <w:ilvl w:val="0"/>
          <w:numId w:val="1"/>
        </w:numPr>
        <w:spacing w:before="240"/>
        <w:jc w:val="both"/>
        <w:rPr>
          <w:rFonts w:ascii="Arial" w:hAnsi="Arial" w:cs="Arial"/>
          <w:sz w:val="24"/>
          <w:szCs w:val="24"/>
        </w:rPr>
      </w:pPr>
      <w:r w:rsidRPr="00185BD8">
        <w:rPr>
          <w:rFonts w:ascii="Arial" w:hAnsi="Arial" w:cs="Arial"/>
          <w:sz w:val="24"/>
          <w:szCs w:val="24"/>
        </w:rPr>
        <w:t xml:space="preserve">The necessity of the work permit was also considered in </w:t>
      </w:r>
      <w:r w:rsidRPr="00185BD8">
        <w:rPr>
          <w:rFonts w:ascii="Arial" w:hAnsi="Arial" w:cs="Arial"/>
          <w:b/>
          <w:sz w:val="24"/>
          <w:szCs w:val="24"/>
          <w:u w:val="single"/>
        </w:rPr>
        <w:t>Re Mottley supra</w:t>
      </w:r>
      <w:r w:rsidRPr="00185BD8">
        <w:rPr>
          <w:rFonts w:ascii="Arial" w:hAnsi="Arial" w:cs="Arial"/>
          <w:sz w:val="24"/>
          <w:szCs w:val="24"/>
        </w:rPr>
        <w:t xml:space="preserve"> however, the case was concerned with the refusal for special admission to the Bar and not the recoverability of foreign </w:t>
      </w:r>
      <w:r w:rsidR="006D350E">
        <w:rPr>
          <w:rFonts w:ascii="Arial" w:hAnsi="Arial" w:cs="Arial"/>
          <w:sz w:val="24"/>
          <w:szCs w:val="24"/>
        </w:rPr>
        <w:t>lawyers</w:t>
      </w:r>
      <w:r w:rsidRPr="00185BD8">
        <w:rPr>
          <w:rFonts w:ascii="Arial" w:hAnsi="Arial" w:cs="Arial"/>
          <w:sz w:val="24"/>
          <w:szCs w:val="24"/>
        </w:rPr>
        <w:t xml:space="preserve">’ fees, particularly where they are recovered as disbursements in accordance with the approach in </w:t>
      </w:r>
      <w:r w:rsidRPr="00185BD8">
        <w:rPr>
          <w:rFonts w:ascii="Arial" w:hAnsi="Arial" w:cs="Arial"/>
          <w:b/>
          <w:sz w:val="24"/>
          <w:szCs w:val="24"/>
          <w:u w:val="single"/>
        </w:rPr>
        <w:t>Hurt and another v Scheck supra.</w:t>
      </w:r>
    </w:p>
    <w:p w:rsidR="00684A38" w:rsidRPr="00185BD8" w:rsidRDefault="00684A38" w:rsidP="00684A38">
      <w:pPr>
        <w:pStyle w:val="ListParagraph"/>
        <w:rPr>
          <w:rFonts w:ascii="Arial" w:hAnsi="Arial" w:cs="Arial"/>
          <w:sz w:val="24"/>
          <w:szCs w:val="24"/>
        </w:rPr>
      </w:pPr>
    </w:p>
    <w:p w:rsidR="00684A38" w:rsidRPr="00185BD8" w:rsidRDefault="00684A38" w:rsidP="00885A68">
      <w:pPr>
        <w:pStyle w:val="ListParagraph"/>
        <w:numPr>
          <w:ilvl w:val="0"/>
          <w:numId w:val="1"/>
        </w:numPr>
        <w:spacing w:before="240"/>
        <w:jc w:val="both"/>
        <w:rPr>
          <w:rFonts w:ascii="Arial" w:hAnsi="Arial" w:cs="Arial"/>
          <w:sz w:val="24"/>
          <w:szCs w:val="24"/>
        </w:rPr>
      </w:pPr>
      <w:r w:rsidRPr="00185BD8">
        <w:rPr>
          <w:rFonts w:ascii="Arial" w:hAnsi="Arial" w:cs="Arial"/>
          <w:sz w:val="24"/>
          <w:szCs w:val="24"/>
        </w:rPr>
        <w:t xml:space="preserve">The cases are </w:t>
      </w:r>
      <w:r w:rsidR="00045790">
        <w:rPr>
          <w:rFonts w:ascii="Arial" w:hAnsi="Arial" w:cs="Arial"/>
          <w:sz w:val="24"/>
          <w:szCs w:val="24"/>
        </w:rPr>
        <w:t xml:space="preserve">pellucid </w:t>
      </w:r>
      <w:r w:rsidRPr="00185BD8">
        <w:rPr>
          <w:rFonts w:ascii="Arial" w:hAnsi="Arial" w:cs="Arial"/>
          <w:sz w:val="24"/>
          <w:szCs w:val="24"/>
        </w:rPr>
        <w:t xml:space="preserve">that a condition for the recoverability of foreign </w:t>
      </w:r>
      <w:r w:rsidR="006D350E">
        <w:rPr>
          <w:rFonts w:ascii="Arial" w:hAnsi="Arial" w:cs="Arial"/>
          <w:sz w:val="24"/>
          <w:szCs w:val="24"/>
        </w:rPr>
        <w:t>lawyers</w:t>
      </w:r>
      <w:r w:rsidRPr="00185BD8">
        <w:rPr>
          <w:rFonts w:ascii="Arial" w:hAnsi="Arial" w:cs="Arial"/>
          <w:sz w:val="24"/>
          <w:szCs w:val="24"/>
        </w:rPr>
        <w:t xml:space="preserve">’ fees is a specific request for their services from a Bahamian lawyer.  Therefore, it is unnecessary for the foreign </w:t>
      </w:r>
      <w:r w:rsidR="006D350E">
        <w:rPr>
          <w:rFonts w:ascii="Arial" w:hAnsi="Arial" w:cs="Arial"/>
          <w:sz w:val="24"/>
          <w:szCs w:val="24"/>
        </w:rPr>
        <w:t xml:space="preserve">lawyer </w:t>
      </w:r>
      <w:r w:rsidRPr="00185BD8">
        <w:rPr>
          <w:rFonts w:ascii="Arial" w:hAnsi="Arial" w:cs="Arial"/>
          <w:sz w:val="24"/>
          <w:szCs w:val="24"/>
        </w:rPr>
        <w:t xml:space="preserve">to be specially admitted to recover their fees since their fees are treated as disbursements of the Bahamian lawyer’s services.  </w:t>
      </w:r>
    </w:p>
    <w:p w:rsidR="00EA175B" w:rsidRPr="00185BD8" w:rsidRDefault="00EA175B" w:rsidP="00EA175B">
      <w:pPr>
        <w:pStyle w:val="ListParagraph"/>
        <w:rPr>
          <w:rFonts w:ascii="Arial" w:hAnsi="Arial" w:cs="Arial"/>
          <w:sz w:val="24"/>
          <w:szCs w:val="24"/>
        </w:rPr>
      </w:pPr>
    </w:p>
    <w:p w:rsidR="00EA175B" w:rsidRPr="00185BD8" w:rsidRDefault="00EA175B" w:rsidP="00885A68">
      <w:pPr>
        <w:pStyle w:val="ListParagraph"/>
        <w:numPr>
          <w:ilvl w:val="0"/>
          <w:numId w:val="1"/>
        </w:numPr>
        <w:spacing w:before="240"/>
        <w:jc w:val="both"/>
        <w:rPr>
          <w:rFonts w:ascii="Arial" w:hAnsi="Arial" w:cs="Arial"/>
          <w:i/>
          <w:sz w:val="24"/>
          <w:szCs w:val="24"/>
        </w:rPr>
      </w:pPr>
      <w:r w:rsidRPr="00185BD8">
        <w:rPr>
          <w:rFonts w:ascii="Arial" w:hAnsi="Arial" w:cs="Arial"/>
          <w:sz w:val="24"/>
          <w:szCs w:val="24"/>
        </w:rPr>
        <w:t>The Receiving Party at paragraph 13 of their submission dated 19 October, 2020 stated: “</w:t>
      </w:r>
      <w:r w:rsidRPr="00185BD8">
        <w:rPr>
          <w:rFonts w:ascii="Arial" w:hAnsi="Arial" w:cs="Arial"/>
          <w:i/>
          <w:sz w:val="24"/>
          <w:szCs w:val="24"/>
        </w:rPr>
        <w:t>Although it may have been more appropriate to enter Mr. Rivett’s charges on the Bill as a disbursement than as time sheets, it is submitted that there is no substantial difference.  GV ultimately paid Mr. Rivett’s fees, whether those fees were routed through Alexiou, Knowles’ bank account, or, whether the fees were paid directly to Mr. Rivett from the client.”</w:t>
      </w:r>
    </w:p>
    <w:p w:rsidR="00EA175B" w:rsidRPr="00185BD8" w:rsidRDefault="00EA175B" w:rsidP="00EA175B">
      <w:pPr>
        <w:pStyle w:val="ListParagraph"/>
        <w:rPr>
          <w:rFonts w:ascii="Arial" w:hAnsi="Arial" w:cs="Arial"/>
          <w:i/>
          <w:sz w:val="24"/>
          <w:szCs w:val="24"/>
        </w:rPr>
      </w:pPr>
    </w:p>
    <w:p w:rsidR="00B75289" w:rsidRPr="00185BD8" w:rsidRDefault="00EA175B" w:rsidP="00EA175B">
      <w:pPr>
        <w:pStyle w:val="ListParagraph"/>
        <w:numPr>
          <w:ilvl w:val="0"/>
          <w:numId w:val="1"/>
        </w:numPr>
        <w:spacing w:before="240"/>
        <w:jc w:val="both"/>
        <w:rPr>
          <w:rFonts w:ascii="Arial" w:hAnsi="Arial" w:cs="Arial"/>
          <w:sz w:val="24"/>
          <w:szCs w:val="24"/>
        </w:rPr>
      </w:pPr>
      <w:r w:rsidRPr="00185BD8">
        <w:rPr>
          <w:rFonts w:ascii="Arial" w:hAnsi="Arial" w:cs="Arial"/>
          <w:sz w:val="24"/>
          <w:szCs w:val="24"/>
        </w:rPr>
        <w:t xml:space="preserve">I do not accept this submission.  </w:t>
      </w:r>
      <w:r w:rsidRPr="00185BD8">
        <w:rPr>
          <w:rFonts w:ascii="Arial" w:hAnsi="Arial" w:cs="Arial"/>
          <w:b/>
          <w:sz w:val="24"/>
          <w:szCs w:val="24"/>
          <w:u w:val="single"/>
        </w:rPr>
        <w:t>Hurt and another v Scheck supra</w:t>
      </w:r>
      <w:r w:rsidRPr="00185BD8">
        <w:rPr>
          <w:rFonts w:ascii="Arial" w:hAnsi="Arial" w:cs="Arial"/>
          <w:sz w:val="24"/>
          <w:szCs w:val="24"/>
        </w:rPr>
        <w:t xml:space="preserve"> has det</w:t>
      </w:r>
      <w:r w:rsidR="00045790">
        <w:rPr>
          <w:rFonts w:ascii="Arial" w:hAnsi="Arial" w:cs="Arial"/>
          <w:sz w:val="24"/>
          <w:szCs w:val="24"/>
        </w:rPr>
        <w:t xml:space="preserve">ermined that in order to </w:t>
      </w:r>
      <w:r w:rsidR="00484E87" w:rsidRPr="00185BD8">
        <w:rPr>
          <w:rFonts w:ascii="Arial" w:hAnsi="Arial" w:cs="Arial"/>
          <w:sz w:val="24"/>
          <w:szCs w:val="24"/>
        </w:rPr>
        <w:t>recover</w:t>
      </w:r>
      <w:r w:rsidR="00045790">
        <w:rPr>
          <w:rFonts w:ascii="Arial" w:hAnsi="Arial" w:cs="Arial"/>
          <w:sz w:val="24"/>
          <w:szCs w:val="24"/>
        </w:rPr>
        <w:t xml:space="preserve"> the fees of </w:t>
      </w:r>
      <w:r w:rsidR="00484E87" w:rsidRPr="00185BD8">
        <w:rPr>
          <w:rFonts w:ascii="Arial" w:hAnsi="Arial" w:cs="Arial"/>
          <w:sz w:val="24"/>
          <w:szCs w:val="24"/>
        </w:rPr>
        <w:t xml:space="preserve">foreign </w:t>
      </w:r>
      <w:r w:rsidR="00045790">
        <w:rPr>
          <w:rFonts w:ascii="Arial" w:hAnsi="Arial" w:cs="Arial"/>
          <w:sz w:val="24"/>
          <w:szCs w:val="24"/>
        </w:rPr>
        <w:t xml:space="preserve">lawyers </w:t>
      </w:r>
      <w:r w:rsidR="00484E87" w:rsidRPr="00185BD8">
        <w:rPr>
          <w:rFonts w:ascii="Arial" w:hAnsi="Arial" w:cs="Arial"/>
          <w:sz w:val="24"/>
          <w:szCs w:val="24"/>
        </w:rPr>
        <w:t xml:space="preserve">that </w:t>
      </w:r>
      <w:r w:rsidRPr="00185BD8">
        <w:rPr>
          <w:rFonts w:ascii="Arial" w:hAnsi="Arial" w:cs="Arial"/>
          <w:sz w:val="24"/>
          <w:szCs w:val="24"/>
        </w:rPr>
        <w:t xml:space="preserve">the Bahamian lawyer </w:t>
      </w:r>
      <w:r w:rsidR="00484E87" w:rsidRPr="00185BD8">
        <w:rPr>
          <w:rFonts w:ascii="Arial" w:hAnsi="Arial" w:cs="Arial"/>
          <w:sz w:val="24"/>
          <w:szCs w:val="24"/>
        </w:rPr>
        <w:t xml:space="preserve">must </w:t>
      </w:r>
      <w:r w:rsidR="00045790">
        <w:rPr>
          <w:rFonts w:ascii="Arial" w:hAnsi="Arial" w:cs="Arial"/>
          <w:sz w:val="24"/>
          <w:szCs w:val="24"/>
        </w:rPr>
        <w:t>instruct them</w:t>
      </w:r>
      <w:r w:rsidRPr="00185BD8">
        <w:rPr>
          <w:rFonts w:ascii="Arial" w:hAnsi="Arial" w:cs="Arial"/>
          <w:sz w:val="24"/>
          <w:szCs w:val="24"/>
        </w:rPr>
        <w:t xml:space="preserve">.  It </w:t>
      </w:r>
      <w:r w:rsidR="00045790">
        <w:rPr>
          <w:rFonts w:ascii="Arial" w:hAnsi="Arial" w:cs="Arial"/>
          <w:sz w:val="24"/>
          <w:szCs w:val="24"/>
        </w:rPr>
        <w:t xml:space="preserve">would </w:t>
      </w:r>
      <w:r w:rsidRPr="00185BD8">
        <w:rPr>
          <w:rFonts w:ascii="Arial" w:hAnsi="Arial" w:cs="Arial"/>
          <w:sz w:val="24"/>
          <w:szCs w:val="24"/>
        </w:rPr>
        <w:t xml:space="preserve">appear without more details, that </w:t>
      </w:r>
      <w:r w:rsidR="00045790">
        <w:rPr>
          <w:rFonts w:ascii="Arial" w:hAnsi="Arial" w:cs="Arial"/>
          <w:sz w:val="24"/>
          <w:szCs w:val="24"/>
        </w:rPr>
        <w:t>the Receiving Party’s client (that is, the Second Defendant)</w:t>
      </w:r>
      <w:r w:rsidR="00484E87" w:rsidRPr="00185BD8">
        <w:rPr>
          <w:rFonts w:ascii="Arial" w:hAnsi="Arial" w:cs="Arial"/>
          <w:sz w:val="24"/>
          <w:szCs w:val="24"/>
        </w:rPr>
        <w:t xml:space="preserve"> gave the instructions.  There is the further issue of whether the work </w:t>
      </w:r>
      <w:r w:rsidR="00045790">
        <w:rPr>
          <w:rFonts w:ascii="Arial" w:hAnsi="Arial" w:cs="Arial"/>
          <w:sz w:val="24"/>
          <w:szCs w:val="24"/>
        </w:rPr>
        <w:t xml:space="preserve">performed </w:t>
      </w:r>
      <w:r w:rsidR="00484E87" w:rsidRPr="00185BD8">
        <w:rPr>
          <w:rFonts w:ascii="Arial" w:hAnsi="Arial" w:cs="Arial"/>
          <w:sz w:val="24"/>
          <w:szCs w:val="24"/>
        </w:rPr>
        <w:t xml:space="preserve">by Mr. Rivett or others (who were not specially admitted) was work </w:t>
      </w:r>
      <w:r w:rsidR="00045790">
        <w:rPr>
          <w:rFonts w:ascii="Arial" w:hAnsi="Arial" w:cs="Arial"/>
          <w:sz w:val="24"/>
          <w:szCs w:val="24"/>
        </w:rPr>
        <w:t xml:space="preserve"> that could have been performed </w:t>
      </w:r>
      <w:r w:rsidR="00484E87" w:rsidRPr="00185BD8">
        <w:rPr>
          <w:rFonts w:ascii="Arial" w:hAnsi="Arial" w:cs="Arial"/>
          <w:sz w:val="24"/>
          <w:szCs w:val="24"/>
        </w:rPr>
        <w:t>by Bahamian lawyers.</w:t>
      </w:r>
      <w:r w:rsidR="00B75289" w:rsidRPr="00185BD8">
        <w:rPr>
          <w:rFonts w:ascii="Arial" w:hAnsi="Arial" w:cs="Arial"/>
          <w:sz w:val="24"/>
          <w:szCs w:val="24"/>
        </w:rPr>
        <w:t xml:space="preserve"> </w:t>
      </w:r>
    </w:p>
    <w:p w:rsidR="00B75289" w:rsidRPr="00185BD8" w:rsidRDefault="00B75289" w:rsidP="00B75289">
      <w:pPr>
        <w:pStyle w:val="ListParagraph"/>
        <w:rPr>
          <w:rFonts w:ascii="Arial" w:hAnsi="Arial" w:cs="Arial"/>
          <w:sz w:val="24"/>
          <w:szCs w:val="24"/>
        </w:rPr>
      </w:pPr>
    </w:p>
    <w:p w:rsidR="00484E87" w:rsidRPr="00185BD8" w:rsidRDefault="00B75289" w:rsidP="00EA175B">
      <w:pPr>
        <w:pStyle w:val="ListParagraph"/>
        <w:numPr>
          <w:ilvl w:val="0"/>
          <w:numId w:val="1"/>
        </w:numPr>
        <w:spacing w:before="240"/>
        <w:jc w:val="both"/>
        <w:rPr>
          <w:rFonts w:ascii="Arial" w:hAnsi="Arial" w:cs="Arial"/>
          <w:sz w:val="24"/>
          <w:szCs w:val="24"/>
        </w:rPr>
      </w:pPr>
      <w:r w:rsidRPr="00185BD8">
        <w:rPr>
          <w:rFonts w:ascii="Arial" w:hAnsi="Arial" w:cs="Arial"/>
          <w:sz w:val="24"/>
          <w:szCs w:val="24"/>
        </w:rPr>
        <w:t xml:space="preserve">The Court is satisfied that any work performed by Mr. Rivett and others in The Bahamas will not be recoverable if they were not specially admitted.  This is pellucid from the Legal Profession Act and is further supported by the Lyons J, in </w:t>
      </w:r>
      <w:r w:rsidRPr="00185BD8">
        <w:rPr>
          <w:rFonts w:ascii="Arial" w:hAnsi="Arial" w:cs="Arial"/>
          <w:b/>
          <w:sz w:val="24"/>
          <w:szCs w:val="24"/>
          <w:u w:val="single"/>
        </w:rPr>
        <w:t>Hurt and another v Scheck supra</w:t>
      </w:r>
      <w:r w:rsidR="006264AA" w:rsidRPr="00185BD8">
        <w:rPr>
          <w:rFonts w:ascii="Arial" w:hAnsi="Arial" w:cs="Arial"/>
          <w:sz w:val="24"/>
          <w:szCs w:val="24"/>
        </w:rPr>
        <w:t xml:space="preserve">.  </w:t>
      </w:r>
      <w:r w:rsidR="00045790">
        <w:rPr>
          <w:rFonts w:ascii="Arial" w:hAnsi="Arial" w:cs="Arial"/>
          <w:sz w:val="24"/>
          <w:szCs w:val="24"/>
        </w:rPr>
        <w:t xml:space="preserve">Further, I reject the “fine distinction” argument by the Receiving Party that section </w:t>
      </w:r>
      <w:r w:rsidR="00045790">
        <w:rPr>
          <w:rFonts w:ascii="Arial" w:hAnsi="Arial" w:cs="Arial"/>
          <w:sz w:val="24"/>
          <w:szCs w:val="24"/>
        </w:rPr>
        <w:lastRenderedPageBreak/>
        <w:t>24 of the Legal Profession Act does not prohibit the recovery of fees charged by a Barrister from England and Wales.</w:t>
      </w:r>
    </w:p>
    <w:p w:rsidR="00484E87" w:rsidRPr="00185BD8" w:rsidRDefault="00484E87" w:rsidP="00484E87">
      <w:pPr>
        <w:pStyle w:val="ListParagraph"/>
        <w:rPr>
          <w:rFonts w:ascii="Arial" w:hAnsi="Arial" w:cs="Arial"/>
          <w:sz w:val="24"/>
          <w:szCs w:val="24"/>
        </w:rPr>
      </w:pPr>
    </w:p>
    <w:p w:rsidR="00280A26" w:rsidRDefault="00045790" w:rsidP="00EA175B">
      <w:pPr>
        <w:pStyle w:val="ListParagraph"/>
        <w:numPr>
          <w:ilvl w:val="0"/>
          <w:numId w:val="1"/>
        </w:numPr>
        <w:spacing w:before="240"/>
        <w:jc w:val="both"/>
        <w:rPr>
          <w:rFonts w:ascii="Arial" w:hAnsi="Arial" w:cs="Arial"/>
          <w:sz w:val="24"/>
          <w:szCs w:val="24"/>
        </w:rPr>
      </w:pPr>
      <w:r>
        <w:rPr>
          <w:rFonts w:ascii="Arial" w:hAnsi="Arial" w:cs="Arial"/>
          <w:sz w:val="24"/>
          <w:szCs w:val="24"/>
        </w:rPr>
        <w:t xml:space="preserve">Accordingly, </w:t>
      </w:r>
      <w:r w:rsidR="00484E87" w:rsidRPr="00185BD8">
        <w:rPr>
          <w:rFonts w:ascii="Arial" w:hAnsi="Arial" w:cs="Arial"/>
          <w:sz w:val="24"/>
          <w:szCs w:val="24"/>
        </w:rPr>
        <w:t xml:space="preserve">I arrive at a similar if not, identical conclusion of Madame Deputy Registrar Delancy regarding the recoverability of foreign </w:t>
      </w:r>
      <w:r>
        <w:rPr>
          <w:rFonts w:ascii="Arial" w:hAnsi="Arial" w:cs="Arial"/>
          <w:sz w:val="24"/>
          <w:szCs w:val="24"/>
        </w:rPr>
        <w:t>lawyers</w:t>
      </w:r>
      <w:r w:rsidR="00484E87" w:rsidRPr="00185BD8">
        <w:rPr>
          <w:rFonts w:ascii="Arial" w:hAnsi="Arial" w:cs="Arial"/>
          <w:sz w:val="24"/>
          <w:szCs w:val="24"/>
        </w:rPr>
        <w:t xml:space="preserve">’ fees.   </w:t>
      </w:r>
      <w:r w:rsidR="00EA175B" w:rsidRPr="00185BD8">
        <w:rPr>
          <w:rFonts w:ascii="Arial" w:hAnsi="Arial" w:cs="Arial"/>
          <w:sz w:val="24"/>
          <w:szCs w:val="24"/>
        </w:rPr>
        <w:t xml:space="preserve"> </w:t>
      </w:r>
    </w:p>
    <w:p w:rsidR="00280A26" w:rsidRPr="00280A26" w:rsidRDefault="00280A26" w:rsidP="00280A26">
      <w:pPr>
        <w:pStyle w:val="ListParagraph"/>
        <w:rPr>
          <w:rFonts w:ascii="Arial" w:hAnsi="Arial" w:cs="Arial"/>
          <w:sz w:val="24"/>
          <w:szCs w:val="24"/>
        </w:rPr>
      </w:pPr>
    </w:p>
    <w:p w:rsidR="00EA175B" w:rsidRPr="00185BD8" w:rsidRDefault="00484E87" w:rsidP="00EA175B">
      <w:pPr>
        <w:pStyle w:val="ListParagraph"/>
        <w:numPr>
          <w:ilvl w:val="0"/>
          <w:numId w:val="1"/>
        </w:numPr>
        <w:spacing w:before="240"/>
        <w:jc w:val="both"/>
        <w:rPr>
          <w:rFonts w:ascii="Arial" w:hAnsi="Arial" w:cs="Arial"/>
          <w:sz w:val="24"/>
          <w:szCs w:val="24"/>
        </w:rPr>
      </w:pPr>
      <w:r w:rsidRPr="00185BD8">
        <w:rPr>
          <w:rFonts w:ascii="Arial" w:hAnsi="Arial" w:cs="Arial"/>
          <w:sz w:val="24"/>
          <w:szCs w:val="24"/>
        </w:rPr>
        <w:t xml:space="preserve">The Receiving Party must produce such documentation or otherwise to support and particularize the engagement of those foreign </w:t>
      </w:r>
      <w:r w:rsidR="00045790">
        <w:rPr>
          <w:rFonts w:ascii="Arial" w:hAnsi="Arial" w:cs="Arial"/>
          <w:sz w:val="24"/>
          <w:szCs w:val="24"/>
        </w:rPr>
        <w:t xml:space="preserve">lawyers </w:t>
      </w:r>
      <w:r w:rsidRPr="00185BD8">
        <w:rPr>
          <w:rFonts w:ascii="Arial" w:hAnsi="Arial" w:cs="Arial"/>
          <w:sz w:val="24"/>
          <w:szCs w:val="24"/>
        </w:rPr>
        <w:t xml:space="preserve">not specially admitted or registered as Registered Associates.  Should the </w:t>
      </w:r>
      <w:r w:rsidR="00280A26">
        <w:rPr>
          <w:rFonts w:ascii="Arial" w:hAnsi="Arial" w:cs="Arial"/>
          <w:sz w:val="24"/>
          <w:szCs w:val="24"/>
        </w:rPr>
        <w:t xml:space="preserve">Registrar as </w:t>
      </w:r>
      <w:r w:rsidRPr="00185BD8">
        <w:rPr>
          <w:rFonts w:ascii="Arial" w:hAnsi="Arial" w:cs="Arial"/>
          <w:sz w:val="24"/>
          <w:szCs w:val="24"/>
        </w:rPr>
        <w:t xml:space="preserve">taxing master be satisfied on the evidence presented that Mr. Rivett, Ms Meredith and others were engaged as per the dictum of Lyons, J in </w:t>
      </w:r>
      <w:r w:rsidRPr="00185BD8">
        <w:rPr>
          <w:rFonts w:ascii="Arial" w:hAnsi="Arial" w:cs="Arial"/>
          <w:b/>
          <w:sz w:val="24"/>
          <w:szCs w:val="24"/>
          <w:u w:val="single"/>
        </w:rPr>
        <w:t>Hurt and another v Scheck supra</w:t>
      </w:r>
      <w:r w:rsidRPr="00185BD8">
        <w:rPr>
          <w:rFonts w:ascii="Arial" w:hAnsi="Arial" w:cs="Arial"/>
          <w:sz w:val="24"/>
          <w:szCs w:val="24"/>
        </w:rPr>
        <w:t xml:space="preserve"> then the disputed items will be considered in accordance with Order 59 to determine whether such costs were necessary or proper for the attainment of justice or for defending the rights of the Defendant.</w:t>
      </w:r>
    </w:p>
    <w:p w:rsidR="00627ED9" w:rsidRPr="00185BD8" w:rsidRDefault="00627ED9" w:rsidP="003641B0">
      <w:pPr>
        <w:jc w:val="both"/>
        <w:rPr>
          <w:rFonts w:ascii="Arial" w:hAnsi="Arial" w:cs="Arial"/>
          <w:i/>
          <w:sz w:val="24"/>
          <w:szCs w:val="24"/>
        </w:rPr>
      </w:pPr>
    </w:p>
    <w:p w:rsidR="003641B0" w:rsidRPr="00185BD8" w:rsidRDefault="003641B0" w:rsidP="003641B0">
      <w:pPr>
        <w:jc w:val="both"/>
        <w:rPr>
          <w:rFonts w:ascii="Arial" w:hAnsi="Arial" w:cs="Arial"/>
          <w:b/>
          <w:sz w:val="24"/>
          <w:szCs w:val="24"/>
          <w:u w:val="single"/>
        </w:rPr>
      </w:pPr>
      <w:r w:rsidRPr="00185BD8">
        <w:rPr>
          <w:rFonts w:ascii="Arial" w:hAnsi="Arial" w:cs="Arial"/>
          <w:b/>
          <w:sz w:val="24"/>
          <w:szCs w:val="24"/>
          <w:u w:val="single"/>
        </w:rPr>
        <w:t>Recoverability of Criminal Law Expert Report</w:t>
      </w:r>
    </w:p>
    <w:p w:rsidR="00C624D1" w:rsidRPr="00185BD8" w:rsidRDefault="00C624D1" w:rsidP="006264AA">
      <w:pPr>
        <w:jc w:val="both"/>
        <w:rPr>
          <w:rFonts w:ascii="Arial" w:hAnsi="Arial" w:cs="Arial"/>
          <w:b/>
          <w:sz w:val="24"/>
          <w:szCs w:val="24"/>
          <w:u w:val="single"/>
        </w:rPr>
      </w:pPr>
    </w:p>
    <w:p w:rsidR="005B4266" w:rsidRPr="00185BD8" w:rsidRDefault="005B4266" w:rsidP="005B4266">
      <w:pPr>
        <w:pStyle w:val="ListParagraph"/>
        <w:numPr>
          <w:ilvl w:val="0"/>
          <w:numId w:val="1"/>
        </w:numPr>
        <w:jc w:val="both"/>
        <w:rPr>
          <w:rFonts w:ascii="Arial" w:hAnsi="Arial" w:cs="Arial"/>
          <w:sz w:val="24"/>
          <w:szCs w:val="24"/>
        </w:rPr>
      </w:pPr>
      <w:r w:rsidRPr="00185BD8">
        <w:rPr>
          <w:rFonts w:ascii="Arial" w:hAnsi="Arial" w:cs="Arial"/>
          <w:sz w:val="24"/>
          <w:szCs w:val="24"/>
        </w:rPr>
        <w:t xml:space="preserve">The determination of whether the Criminal Law Expert Report is necessary for the attainment of justice is an example of why costs are best addressed by the judicial officer hearing the matter.  </w:t>
      </w:r>
    </w:p>
    <w:p w:rsidR="005B4266" w:rsidRPr="00185BD8" w:rsidRDefault="005B4266" w:rsidP="005B4266">
      <w:pPr>
        <w:pStyle w:val="ListParagraph"/>
        <w:jc w:val="both"/>
        <w:rPr>
          <w:rFonts w:ascii="Arial" w:hAnsi="Arial" w:cs="Arial"/>
          <w:sz w:val="24"/>
          <w:szCs w:val="24"/>
        </w:rPr>
      </w:pPr>
    </w:p>
    <w:p w:rsidR="005B4266" w:rsidRPr="00185BD8" w:rsidRDefault="005B4266" w:rsidP="005B4266">
      <w:pPr>
        <w:pStyle w:val="ListParagraph"/>
        <w:numPr>
          <w:ilvl w:val="0"/>
          <w:numId w:val="1"/>
        </w:numPr>
        <w:jc w:val="both"/>
        <w:rPr>
          <w:rFonts w:ascii="Arial" w:hAnsi="Arial" w:cs="Arial"/>
          <w:sz w:val="24"/>
          <w:szCs w:val="24"/>
        </w:rPr>
      </w:pPr>
      <w:r w:rsidRPr="00185BD8">
        <w:rPr>
          <w:rFonts w:ascii="Arial" w:hAnsi="Arial" w:cs="Arial"/>
          <w:sz w:val="24"/>
          <w:szCs w:val="24"/>
        </w:rPr>
        <w:t xml:space="preserve">While I accept that the Expert Report would have demonstrated the seriousness of the act carried out by the Plaintiff and the fact that it was criminal in nature; it is not easy to determine whether the Honourable Justice </w:t>
      </w:r>
      <w:bookmarkStart w:id="0" w:name="_GoBack"/>
      <w:bookmarkEnd w:id="0"/>
      <w:r w:rsidRPr="00185BD8">
        <w:rPr>
          <w:rFonts w:ascii="Arial" w:hAnsi="Arial" w:cs="Arial"/>
          <w:sz w:val="24"/>
          <w:szCs w:val="24"/>
        </w:rPr>
        <w:t>Winder placed any weight on its submission.  I am not willing to infer that its absence from the judgment made it immaterial.</w:t>
      </w:r>
    </w:p>
    <w:p w:rsidR="005B4266" w:rsidRPr="00185BD8" w:rsidRDefault="005B4266" w:rsidP="005B4266">
      <w:pPr>
        <w:pStyle w:val="ListParagraph"/>
        <w:rPr>
          <w:rFonts w:ascii="Arial" w:hAnsi="Arial" w:cs="Arial"/>
          <w:sz w:val="24"/>
          <w:szCs w:val="24"/>
        </w:rPr>
      </w:pPr>
    </w:p>
    <w:p w:rsidR="005B4266" w:rsidRPr="00185BD8" w:rsidRDefault="005B4266" w:rsidP="005B4266">
      <w:pPr>
        <w:pStyle w:val="ListParagraph"/>
        <w:numPr>
          <w:ilvl w:val="0"/>
          <w:numId w:val="1"/>
        </w:numPr>
        <w:jc w:val="both"/>
        <w:rPr>
          <w:rFonts w:ascii="Arial" w:hAnsi="Arial" w:cs="Arial"/>
          <w:sz w:val="24"/>
          <w:szCs w:val="24"/>
        </w:rPr>
      </w:pPr>
      <w:r w:rsidRPr="00185BD8">
        <w:rPr>
          <w:rFonts w:ascii="Arial" w:hAnsi="Arial" w:cs="Arial"/>
          <w:sz w:val="24"/>
          <w:szCs w:val="24"/>
        </w:rPr>
        <w:t>However, I am of the view that the cost of the report has not been justified</w:t>
      </w:r>
      <w:r w:rsidR="0010622A" w:rsidRPr="00185BD8">
        <w:rPr>
          <w:rFonts w:ascii="Arial" w:hAnsi="Arial" w:cs="Arial"/>
          <w:sz w:val="24"/>
          <w:szCs w:val="24"/>
        </w:rPr>
        <w:t xml:space="preserve"> and I find the sum being claimed of almost $30,000 to be excessive.  The Receiving Party</w:t>
      </w:r>
      <w:r w:rsidRPr="00185BD8">
        <w:rPr>
          <w:rFonts w:ascii="Arial" w:hAnsi="Arial" w:cs="Arial"/>
          <w:sz w:val="24"/>
          <w:szCs w:val="24"/>
        </w:rPr>
        <w:t xml:space="preserve"> </w:t>
      </w:r>
      <w:r w:rsidR="00335BFF">
        <w:rPr>
          <w:rFonts w:ascii="Arial" w:hAnsi="Arial" w:cs="Arial"/>
          <w:sz w:val="24"/>
          <w:szCs w:val="24"/>
        </w:rPr>
        <w:t>must</w:t>
      </w:r>
      <w:r w:rsidR="0010622A" w:rsidRPr="00185BD8">
        <w:rPr>
          <w:rFonts w:ascii="Arial" w:hAnsi="Arial" w:cs="Arial"/>
          <w:sz w:val="24"/>
          <w:szCs w:val="24"/>
        </w:rPr>
        <w:t xml:space="preserve"> provide details of the time spent of hourly rate so that the reasonableness of the fee being claimed</w:t>
      </w:r>
      <w:r w:rsidR="00280A26">
        <w:rPr>
          <w:rFonts w:ascii="Arial" w:hAnsi="Arial" w:cs="Arial"/>
          <w:sz w:val="24"/>
          <w:szCs w:val="24"/>
        </w:rPr>
        <w:t xml:space="preserve"> can be assessed</w:t>
      </w:r>
      <w:r w:rsidR="0010622A" w:rsidRPr="00185BD8">
        <w:rPr>
          <w:rFonts w:ascii="Arial" w:hAnsi="Arial" w:cs="Arial"/>
          <w:sz w:val="24"/>
          <w:szCs w:val="24"/>
        </w:rPr>
        <w:t xml:space="preserve">. </w:t>
      </w:r>
    </w:p>
    <w:p w:rsidR="0010622A" w:rsidRPr="00185BD8" w:rsidRDefault="0010622A" w:rsidP="0010622A">
      <w:pPr>
        <w:pStyle w:val="ListParagraph"/>
        <w:rPr>
          <w:rFonts w:ascii="Arial" w:hAnsi="Arial" w:cs="Arial"/>
          <w:sz w:val="24"/>
          <w:szCs w:val="24"/>
        </w:rPr>
      </w:pPr>
    </w:p>
    <w:p w:rsidR="004B0E86" w:rsidRPr="00185BD8" w:rsidRDefault="00C624D1" w:rsidP="00C624D1">
      <w:pPr>
        <w:jc w:val="both"/>
        <w:rPr>
          <w:rFonts w:ascii="Arial" w:hAnsi="Arial" w:cs="Arial"/>
          <w:b/>
          <w:sz w:val="24"/>
          <w:szCs w:val="24"/>
        </w:rPr>
      </w:pPr>
      <w:r w:rsidRPr="00185BD8">
        <w:rPr>
          <w:rFonts w:ascii="Arial" w:hAnsi="Arial" w:cs="Arial"/>
          <w:b/>
          <w:sz w:val="24"/>
          <w:szCs w:val="24"/>
        </w:rPr>
        <w:t xml:space="preserve"> </w:t>
      </w:r>
    </w:p>
    <w:p w:rsidR="008147D3" w:rsidRPr="00185BD8" w:rsidRDefault="008147D3" w:rsidP="006E21B0">
      <w:pPr>
        <w:pStyle w:val="ListParagraph"/>
        <w:jc w:val="center"/>
        <w:rPr>
          <w:rFonts w:ascii="Arial" w:hAnsi="Arial" w:cs="Arial"/>
          <w:sz w:val="24"/>
          <w:szCs w:val="24"/>
        </w:rPr>
      </w:pPr>
      <w:r w:rsidRPr="00185BD8">
        <w:rPr>
          <w:rFonts w:ascii="Arial" w:hAnsi="Arial" w:cs="Arial"/>
          <w:sz w:val="24"/>
          <w:szCs w:val="24"/>
        </w:rPr>
        <w:t xml:space="preserve">Dated the </w:t>
      </w:r>
      <w:r w:rsidR="00A54297">
        <w:rPr>
          <w:rFonts w:ascii="Arial" w:hAnsi="Arial" w:cs="Arial"/>
          <w:sz w:val="24"/>
          <w:szCs w:val="24"/>
        </w:rPr>
        <w:t>18</w:t>
      </w:r>
      <w:r w:rsidR="00A54297">
        <w:rPr>
          <w:rFonts w:ascii="Arial" w:hAnsi="Arial" w:cs="Arial"/>
          <w:sz w:val="24"/>
          <w:szCs w:val="24"/>
          <w:vertAlign w:val="superscript"/>
        </w:rPr>
        <w:t>th</w:t>
      </w:r>
      <w:r w:rsidRPr="00185BD8">
        <w:rPr>
          <w:rFonts w:ascii="Arial" w:hAnsi="Arial" w:cs="Arial"/>
          <w:sz w:val="24"/>
          <w:szCs w:val="24"/>
        </w:rPr>
        <w:t xml:space="preserve"> day of </w:t>
      </w:r>
      <w:r w:rsidR="004B0E86" w:rsidRPr="00185BD8">
        <w:rPr>
          <w:rFonts w:ascii="Arial" w:hAnsi="Arial" w:cs="Arial"/>
          <w:sz w:val="24"/>
          <w:szCs w:val="24"/>
        </w:rPr>
        <w:t>February</w:t>
      </w:r>
      <w:r w:rsidRPr="00185BD8">
        <w:rPr>
          <w:rFonts w:ascii="Arial" w:hAnsi="Arial" w:cs="Arial"/>
          <w:sz w:val="24"/>
          <w:szCs w:val="24"/>
        </w:rPr>
        <w:t>, 20</w:t>
      </w:r>
      <w:r w:rsidR="004B0E86" w:rsidRPr="00185BD8">
        <w:rPr>
          <w:rFonts w:ascii="Arial" w:hAnsi="Arial" w:cs="Arial"/>
          <w:sz w:val="24"/>
          <w:szCs w:val="24"/>
        </w:rPr>
        <w:t>2</w:t>
      </w:r>
      <w:r w:rsidR="00335BFF">
        <w:rPr>
          <w:rFonts w:ascii="Arial" w:hAnsi="Arial" w:cs="Arial"/>
          <w:sz w:val="24"/>
          <w:szCs w:val="24"/>
        </w:rPr>
        <w:t>1</w:t>
      </w:r>
    </w:p>
    <w:p w:rsidR="004B0E86" w:rsidRDefault="004B0E86" w:rsidP="004B0E86">
      <w:pPr>
        <w:jc w:val="both"/>
        <w:rPr>
          <w:rFonts w:ascii="Arial" w:hAnsi="Arial" w:cs="Arial"/>
          <w:sz w:val="24"/>
          <w:szCs w:val="24"/>
        </w:rPr>
      </w:pPr>
    </w:p>
    <w:p w:rsidR="00280A26" w:rsidRDefault="00280A26" w:rsidP="004B0E86">
      <w:pPr>
        <w:jc w:val="both"/>
        <w:rPr>
          <w:rFonts w:ascii="Arial" w:hAnsi="Arial" w:cs="Arial"/>
          <w:sz w:val="24"/>
          <w:szCs w:val="24"/>
        </w:rPr>
      </w:pPr>
    </w:p>
    <w:p w:rsidR="00280A26" w:rsidRPr="00185BD8" w:rsidRDefault="00280A26" w:rsidP="004B0E86">
      <w:pPr>
        <w:jc w:val="both"/>
        <w:rPr>
          <w:rFonts w:ascii="Arial" w:hAnsi="Arial" w:cs="Arial"/>
          <w:sz w:val="24"/>
          <w:szCs w:val="24"/>
        </w:rPr>
      </w:pPr>
    </w:p>
    <w:p w:rsidR="004B0E86" w:rsidRPr="00185BD8" w:rsidRDefault="004B0E86" w:rsidP="004B0E86">
      <w:pPr>
        <w:jc w:val="both"/>
        <w:rPr>
          <w:rFonts w:ascii="Arial" w:hAnsi="Arial" w:cs="Arial"/>
          <w:sz w:val="24"/>
          <w:szCs w:val="24"/>
        </w:rPr>
      </w:pPr>
    </w:p>
    <w:p w:rsidR="00145589" w:rsidRPr="00185BD8" w:rsidRDefault="008147D3" w:rsidP="004B0E86">
      <w:pPr>
        <w:ind w:left="5760" w:firstLine="720"/>
        <w:jc w:val="both"/>
        <w:rPr>
          <w:rFonts w:ascii="Arial" w:hAnsi="Arial" w:cs="Arial"/>
          <w:b/>
          <w:sz w:val="24"/>
          <w:szCs w:val="24"/>
        </w:rPr>
      </w:pPr>
      <w:r w:rsidRPr="00185BD8">
        <w:rPr>
          <w:rFonts w:ascii="Arial" w:hAnsi="Arial" w:cs="Arial"/>
          <w:b/>
          <w:sz w:val="24"/>
          <w:szCs w:val="24"/>
        </w:rPr>
        <w:t>Camille Darville-Gomez</w:t>
      </w:r>
    </w:p>
    <w:p w:rsidR="009B2783" w:rsidRPr="00185BD8" w:rsidRDefault="008147D3" w:rsidP="008034E4">
      <w:pPr>
        <w:pStyle w:val="ListParagraph"/>
        <w:ind w:left="6480" w:firstLine="720"/>
        <w:jc w:val="both"/>
        <w:rPr>
          <w:rFonts w:ascii="Arial" w:hAnsi="Arial" w:cs="Arial"/>
          <w:b/>
          <w:sz w:val="24"/>
          <w:szCs w:val="24"/>
        </w:rPr>
      </w:pPr>
      <w:r w:rsidRPr="00185BD8">
        <w:rPr>
          <w:rFonts w:ascii="Arial" w:hAnsi="Arial" w:cs="Arial"/>
          <w:b/>
          <w:sz w:val="24"/>
          <w:szCs w:val="24"/>
        </w:rPr>
        <w:t xml:space="preserve">Registrar </w:t>
      </w:r>
      <w:r w:rsidR="009B2783" w:rsidRPr="00185BD8">
        <w:rPr>
          <w:rFonts w:ascii="Arial" w:hAnsi="Arial" w:cs="Arial"/>
          <w:b/>
          <w:sz w:val="24"/>
          <w:szCs w:val="24"/>
        </w:rPr>
        <w:t xml:space="preserve"> </w:t>
      </w:r>
    </w:p>
    <w:sectPr w:rsidR="009B2783" w:rsidRPr="00185BD8" w:rsidSect="00D35FEF">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80D" w:rsidRDefault="0000380D" w:rsidP="0010622A">
      <w:r>
        <w:separator/>
      </w:r>
    </w:p>
  </w:endnote>
  <w:endnote w:type="continuationSeparator" w:id="0">
    <w:p w:rsidR="0000380D" w:rsidRDefault="0000380D" w:rsidP="00106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417520"/>
      <w:docPartObj>
        <w:docPartGallery w:val="Page Numbers (Bottom of Page)"/>
        <w:docPartUnique/>
      </w:docPartObj>
    </w:sdtPr>
    <w:sdtEndPr>
      <w:rPr>
        <w:noProof/>
      </w:rPr>
    </w:sdtEndPr>
    <w:sdtContent>
      <w:p w:rsidR="00F96407" w:rsidRDefault="00F96407">
        <w:pPr>
          <w:pStyle w:val="Footer"/>
          <w:jc w:val="right"/>
        </w:pPr>
        <w:r>
          <w:fldChar w:fldCharType="begin"/>
        </w:r>
        <w:r>
          <w:instrText xml:space="preserve"> PAGE   \* MERGEFORMAT </w:instrText>
        </w:r>
        <w:r>
          <w:fldChar w:fldCharType="separate"/>
        </w:r>
        <w:r w:rsidR="00335BFF">
          <w:rPr>
            <w:noProof/>
          </w:rPr>
          <w:t>2</w:t>
        </w:r>
        <w:r>
          <w:rPr>
            <w:noProof/>
          </w:rPr>
          <w:fldChar w:fldCharType="end"/>
        </w:r>
      </w:p>
    </w:sdtContent>
  </w:sdt>
  <w:p w:rsidR="0010622A" w:rsidRDefault="00106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80D" w:rsidRDefault="0000380D" w:rsidP="0010622A">
      <w:r>
        <w:separator/>
      </w:r>
    </w:p>
  </w:footnote>
  <w:footnote w:type="continuationSeparator" w:id="0">
    <w:p w:rsidR="0000380D" w:rsidRDefault="0000380D" w:rsidP="00106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22A" w:rsidRDefault="001062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B6554"/>
    <w:multiLevelType w:val="hybridMultilevel"/>
    <w:tmpl w:val="C686B62E"/>
    <w:lvl w:ilvl="0" w:tplc="66508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DB0E97"/>
    <w:multiLevelType w:val="hybridMultilevel"/>
    <w:tmpl w:val="1792A7E2"/>
    <w:lvl w:ilvl="0" w:tplc="A4EA3D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FA26A7"/>
    <w:multiLevelType w:val="hybridMultilevel"/>
    <w:tmpl w:val="5C106390"/>
    <w:lvl w:ilvl="0" w:tplc="EBFCA5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5813F9"/>
    <w:multiLevelType w:val="hybridMultilevel"/>
    <w:tmpl w:val="59D60326"/>
    <w:lvl w:ilvl="0" w:tplc="CC0EE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1A5543"/>
    <w:multiLevelType w:val="hybridMultilevel"/>
    <w:tmpl w:val="1842F3FA"/>
    <w:lvl w:ilvl="0" w:tplc="46A81496">
      <w:start w:val="12"/>
      <w:numFmt w:val="decimal"/>
      <w:lvlText w:val="%1."/>
      <w:lvlJc w:val="left"/>
      <w:pPr>
        <w:ind w:left="1095" w:hanging="375"/>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15:restartNumberingAfterBreak="0">
    <w:nsid w:val="7FCA4E84"/>
    <w:multiLevelType w:val="hybridMultilevel"/>
    <w:tmpl w:val="0E1A4496"/>
    <w:lvl w:ilvl="0" w:tplc="C1C079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1E"/>
    <w:rsid w:val="0000380D"/>
    <w:rsid w:val="00044CEA"/>
    <w:rsid w:val="00045790"/>
    <w:rsid w:val="0010622A"/>
    <w:rsid w:val="00110941"/>
    <w:rsid w:val="00140896"/>
    <w:rsid w:val="00145589"/>
    <w:rsid w:val="00185BD8"/>
    <w:rsid w:val="00201D1E"/>
    <w:rsid w:val="002549DA"/>
    <w:rsid w:val="00280A26"/>
    <w:rsid w:val="0028246F"/>
    <w:rsid w:val="00290409"/>
    <w:rsid w:val="002C2706"/>
    <w:rsid w:val="003228EB"/>
    <w:rsid w:val="00335BFF"/>
    <w:rsid w:val="0035758F"/>
    <w:rsid w:val="003641B0"/>
    <w:rsid w:val="003A70F3"/>
    <w:rsid w:val="003D28E2"/>
    <w:rsid w:val="00402EE6"/>
    <w:rsid w:val="00484E87"/>
    <w:rsid w:val="004935A2"/>
    <w:rsid w:val="004B0E86"/>
    <w:rsid w:val="004C083B"/>
    <w:rsid w:val="004C7335"/>
    <w:rsid w:val="004D2B9D"/>
    <w:rsid w:val="004D70C2"/>
    <w:rsid w:val="004F065C"/>
    <w:rsid w:val="0053156F"/>
    <w:rsid w:val="005811AB"/>
    <w:rsid w:val="005A4291"/>
    <w:rsid w:val="005B4266"/>
    <w:rsid w:val="005E738C"/>
    <w:rsid w:val="006264AA"/>
    <w:rsid w:val="00627ED9"/>
    <w:rsid w:val="0065260B"/>
    <w:rsid w:val="00684A38"/>
    <w:rsid w:val="006B3CC4"/>
    <w:rsid w:val="006B7EC8"/>
    <w:rsid w:val="006D350E"/>
    <w:rsid w:val="006E21B0"/>
    <w:rsid w:val="006E6413"/>
    <w:rsid w:val="00722AF8"/>
    <w:rsid w:val="007B1D43"/>
    <w:rsid w:val="007C2B43"/>
    <w:rsid w:val="007F096E"/>
    <w:rsid w:val="008034E4"/>
    <w:rsid w:val="008147D3"/>
    <w:rsid w:val="00821C30"/>
    <w:rsid w:val="00835001"/>
    <w:rsid w:val="00885A68"/>
    <w:rsid w:val="00910454"/>
    <w:rsid w:val="0092672E"/>
    <w:rsid w:val="00965435"/>
    <w:rsid w:val="00986BD7"/>
    <w:rsid w:val="009B2783"/>
    <w:rsid w:val="009D040A"/>
    <w:rsid w:val="00A3740A"/>
    <w:rsid w:val="00A54297"/>
    <w:rsid w:val="00A6044E"/>
    <w:rsid w:val="00A6791E"/>
    <w:rsid w:val="00A763D9"/>
    <w:rsid w:val="00A835EE"/>
    <w:rsid w:val="00A864B6"/>
    <w:rsid w:val="00B66867"/>
    <w:rsid w:val="00B75289"/>
    <w:rsid w:val="00B77D9A"/>
    <w:rsid w:val="00B9012A"/>
    <w:rsid w:val="00BA62C8"/>
    <w:rsid w:val="00BD6721"/>
    <w:rsid w:val="00BF7C5C"/>
    <w:rsid w:val="00C624D1"/>
    <w:rsid w:val="00D04B1F"/>
    <w:rsid w:val="00D35FEF"/>
    <w:rsid w:val="00DC0109"/>
    <w:rsid w:val="00DE0870"/>
    <w:rsid w:val="00E43CF9"/>
    <w:rsid w:val="00EA175B"/>
    <w:rsid w:val="00F3539B"/>
    <w:rsid w:val="00F848A4"/>
    <w:rsid w:val="00F853C6"/>
    <w:rsid w:val="00F86E1E"/>
    <w:rsid w:val="00F96407"/>
    <w:rsid w:val="00FA6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FE801F-79BF-40B4-8E05-A8DA27B7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D9A"/>
    <w:pPr>
      <w:ind w:left="720"/>
      <w:contextualSpacing/>
    </w:pPr>
  </w:style>
  <w:style w:type="paragraph" w:styleId="BalloonText">
    <w:name w:val="Balloon Text"/>
    <w:basedOn w:val="Normal"/>
    <w:link w:val="BalloonTextChar"/>
    <w:uiPriority w:val="99"/>
    <w:semiHidden/>
    <w:unhideWhenUsed/>
    <w:rsid w:val="008147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7D3"/>
    <w:rPr>
      <w:rFonts w:ascii="Segoe UI" w:hAnsi="Segoe UI" w:cs="Segoe UI"/>
      <w:sz w:val="18"/>
      <w:szCs w:val="18"/>
    </w:rPr>
  </w:style>
  <w:style w:type="paragraph" w:styleId="Header">
    <w:name w:val="header"/>
    <w:basedOn w:val="Normal"/>
    <w:link w:val="HeaderChar"/>
    <w:uiPriority w:val="99"/>
    <w:unhideWhenUsed/>
    <w:rsid w:val="0010622A"/>
    <w:pPr>
      <w:tabs>
        <w:tab w:val="center" w:pos="4513"/>
        <w:tab w:val="right" w:pos="9026"/>
      </w:tabs>
    </w:pPr>
  </w:style>
  <w:style w:type="character" w:customStyle="1" w:styleId="HeaderChar">
    <w:name w:val="Header Char"/>
    <w:basedOn w:val="DefaultParagraphFont"/>
    <w:link w:val="Header"/>
    <w:uiPriority w:val="99"/>
    <w:rsid w:val="0010622A"/>
  </w:style>
  <w:style w:type="paragraph" w:styleId="Footer">
    <w:name w:val="footer"/>
    <w:basedOn w:val="Normal"/>
    <w:link w:val="FooterChar"/>
    <w:uiPriority w:val="99"/>
    <w:unhideWhenUsed/>
    <w:rsid w:val="0010622A"/>
    <w:pPr>
      <w:tabs>
        <w:tab w:val="center" w:pos="4513"/>
        <w:tab w:val="right" w:pos="9026"/>
      </w:tabs>
    </w:pPr>
  </w:style>
  <w:style w:type="character" w:customStyle="1" w:styleId="FooterChar">
    <w:name w:val="Footer Char"/>
    <w:basedOn w:val="DefaultParagraphFont"/>
    <w:link w:val="Footer"/>
    <w:uiPriority w:val="99"/>
    <w:rsid w:val="00106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F5872-1736-47F2-BCF1-05439A9E8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3</cp:revision>
  <cp:lastPrinted>2021-02-18T17:23:00Z</cp:lastPrinted>
  <dcterms:created xsi:type="dcterms:W3CDTF">2021-02-18T17:24:00Z</dcterms:created>
  <dcterms:modified xsi:type="dcterms:W3CDTF">2021-02-18T18:30:00Z</dcterms:modified>
</cp:coreProperties>
</file>